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CEC8" w14:textId="6527F8CA" w:rsidR="002D2BA8" w:rsidRPr="002D2BA8" w:rsidRDefault="002D2BA8" w:rsidP="002D2BA8">
      <w:pPr>
        <w:spacing w:before="120" w:line="360" w:lineRule="auto"/>
        <w:ind w:left="6480"/>
        <w:outlineLvl w:val="0"/>
        <w:rPr>
          <w:rFonts w:ascii="Arial" w:hAnsi="Arial" w:cs="Arial"/>
          <w:sz w:val="28"/>
          <w:szCs w:val="28"/>
        </w:rPr>
      </w:pPr>
      <w:r w:rsidRPr="002D2BA8">
        <w:rPr>
          <w:rFonts w:ascii="Arial" w:hAnsi="Arial" w:cs="Arial"/>
          <w:noProof/>
        </w:rPr>
        <w:drawing>
          <wp:anchor distT="0" distB="0" distL="114300" distR="114300" simplePos="0" relativeHeight="251658240" behindDoc="0" locked="0" layoutInCell="1" allowOverlap="1" wp14:anchorId="5C7A1360" wp14:editId="6290FEB1">
            <wp:simplePos x="0" y="0"/>
            <wp:positionH relativeFrom="margin">
              <wp:posOffset>-24765</wp:posOffset>
            </wp:positionH>
            <wp:positionV relativeFrom="margin">
              <wp:posOffset>-98756</wp:posOffset>
            </wp:positionV>
            <wp:extent cx="1796415" cy="452755"/>
            <wp:effectExtent l="0" t="0" r="0"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alphaModFix/>
                    </a:blip>
                    <a:stretch>
                      <a:fillRect/>
                    </a:stretch>
                  </pic:blipFill>
                  <pic:spPr>
                    <a:xfrm>
                      <a:off x="0" y="0"/>
                      <a:ext cx="1796415" cy="452755"/>
                    </a:xfrm>
                    <a:prstGeom prst="rect">
                      <a:avLst/>
                    </a:prstGeom>
                  </pic:spPr>
                </pic:pic>
              </a:graphicData>
            </a:graphic>
          </wp:anchor>
        </w:drawing>
      </w:r>
      <w:r w:rsidRPr="002D2BA8">
        <w:rPr>
          <w:rFonts w:ascii="Arial" w:hAnsi="Arial" w:cs="Arial"/>
          <w:sz w:val="28"/>
          <w:szCs w:val="28"/>
        </w:rPr>
        <w:t xml:space="preserve">       Presseinformation</w:t>
      </w:r>
    </w:p>
    <w:p w14:paraId="7F37C4E3" w14:textId="314B4E04" w:rsidR="003035FE" w:rsidRDefault="003035FE" w:rsidP="00C5368E">
      <w:pPr>
        <w:spacing w:after="120" w:line="360" w:lineRule="auto"/>
        <w:rPr>
          <w:rFonts w:ascii="Arial" w:hAnsi="Arial" w:cs="Arial"/>
          <w:bCs/>
          <w:color w:val="000000"/>
          <w:spacing w:val="8"/>
          <w:kern w:val="36"/>
          <w:sz w:val="22"/>
          <w:szCs w:val="22"/>
        </w:rPr>
      </w:pPr>
      <w:bookmarkStart w:id="0" w:name="OLE_LINK3"/>
      <w:bookmarkStart w:id="1" w:name="OLE_LINK4"/>
    </w:p>
    <w:p w14:paraId="30FCB118" w14:textId="77777777" w:rsidR="00BC5983" w:rsidRDefault="00BC5983" w:rsidP="00C5368E">
      <w:pPr>
        <w:spacing w:after="120" w:line="360" w:lineRule="auto"/>
        <w:rPr>
          <w:rFonts w:ascii="Arial" w:hAnsi="Arial" w:cs="Arial"/>
          <w:bCs/>
          <w:color w:val="000000"/>
          <w:spacing w:val="8"/>
          <w:kern w:val="36"/>
          <w:sz w:val="22"/>
          <w:szCs w:val="22"/>
        </w:rPr>
      </w:pPr>
    </w:p>
    <w:p w14:paraId="18E0793C" w14:textId="6922A931" w:rsidR="00312207" w:rsidRPr="00BC5983" w:rsidRDefault="00FC718A" w:rsidP="00C5368E">
      <w:pPr>
        <w:spacing w:after="120" w:line="360" w:lineRule="auto"/>
        <w:rPr>
          <w:rFonts w:ascii="Arial" w:hAnsi="Arial" w:cs="Arial"/>
          <w:b/>
          <w:bCs/>
          <w:sz w:val="31"/>
          <w:szCs w:val="31"/>
        </w:rPr>
      </w:pPr>
      <w:r w:rsidRPr="00BC5983">
        <w:rPr>
          <w:rFonts w:ascii="Arial" w:hAnsi="Arial" w:cs="Arial"/>
          <w:b/>
          <w:bCs/>
          <w:sz w:val="31"/>
          <w:szCs w:val="31"/>
        </w:rPr>
        <w:t>Die Leuchtenfamilie C80 G2</w:t>
      </w:r>
      <w:r w:rsidR="004F78DB" w:rsidRPr="00BC5983">
        <w:rPr>
          <w:rFonts w:ascii="Arial" w:hAnsi="Arial" w:cs="Arial"/>
          <w:b/>
          <w:bCs/>
          <w:sz w:val="31"/>
          <w:szCs w:val="31"/>
        </w:rPr>
        <w:t xml:space="preserve">: </w:t>
      </w:r>
      <w:r w:rsidRPr="00BC5983">
        <w:rPr>
          <w:rFonts w:ascii="Arial" w:hAnsi="Arial" w:cs="Arial"/>
          <w:b/>
          <w:bCs/>
          <w:sz w:val="31"/>
          <w:szCs w:val="31"/>
        </w:rPr>
        <w:t>Dezente Lichtlinien für vielseitige Beleuchtungsszenarien</w:t>
      </w:r>
    </w:p>
    <w:p w14:paraId="60908A95" w14:textId="0F03F7A3" w:rsidR="001A1087" w:rsidRPr="00FB61EF" w:rsidRDefault="00FC718A" w:rsidP="00FB61EF">
      <w:pPr>
        <w:spacing w:after="120" w:line="360" w:lineRule="auto"/>
        <w:jc w:val="both"/>
        <w:rPr>
          <w:rFonts w:ascii="Arial" w:hAnsi="Arial" w:cs="Arial"/>
          <w:bCs/>
          <w:i/>
          <w:iCs/>
          <w:shd w:val="clear" w:color="auto" w:fill="FFFFFF"/>
        </w:rPr>
      </w:pPr>
      <w:r w:rsidRPr="00FB61EF">
        <w:rPr>
          <w:rFonts w:ascii="Arial" w:hAnsi="Arial" w:cs="Arial"/>
          <w:bCs/>
          <w:i/>
          <w:iCs/>
          <w:shd w:val="clear" w:color="auto" w:fill="FFFFFF"/>
        </w:rPr>
        <w:t xml:space="preserve">Das lineare Beleuchtungssystem C80 </w:t>
      </w:r>
      <w:r w:rsidR="00BC5983" w:rsidRPr="00FB61EF">
        <w:rPr>
          <w:rFonts w:ascii="Arial" w:hAnsi="Arial" w:cs="Arial"/>
          <w:bCs/>
          <w:i/>
          <w:iCs/>
          <w:shd w:val="clear" w:color="auto" w:fill="FFFFFF"/>
        </w:rPr>
        <w:t>der zweiten Generation</w:t>
      </w:r>
      <w:r w:rsidRPr="00FB61EF">
        <w:rPr>
          <w:rFonts w:ascii="Arial" w:hAnsi="Arial" w:cs="Arial"/>
          <w:bCs/>
          <w:i/>
          <w:iCs/>
          <w:shd w:val="clear" w:color="auto" w:fill="FFFFFF"/>
        </w:rPr>
        <w:t xml:space="preserve"> umfasst Deckeneinbau-, Pendel-, Anbau</w:t>
      </w:r>
      <w:r w:rsidR="00BD1617" w:rsidRPr="00FB61EF">
        <w:rPr>
          <w:rFonts w:ascii="Arial" w:hAnsi="Arial" w:cs="Arial"/>
          <w:bCs/>
          <w:i/>
          <w:iCs/>
          <w:shd w:val="clear" w:color="auto" w:fill="FFFFFF"/>
        </w:rPr>
        <w:t>-</w:t>
      </w:r>
      <w:r w:rsidRPr="00FB61EF">
        <w:rPr>
          <w:rFonts w:ascii="Arial" w:hAnsi="Arial" w:cs="Arial"/>
          <w:bCs/>
          <w:i/>
          <w:iCs/>
          <w:shd w:val="clear" w:color="auto" w:fill="FFFFFF"/>
        </w:rPr>
        <w:t xml:space="preserve"> und Wandleuchten und ermöglicht raffinierte</w:t>
      </w:r>
      <w:r w:rsidR="00456266" w:rsidRPr="00FB61EF">
        <w:rPr>
          <w:rFonts w:ascii="Arial" w:hAnsi="Arial" w:cs="Arial"/>
          <w:bCs/>
          <w:i/>
          <w:iCs/>
          <w:shd w:val="clear" w:color="auto" w:fill="FFFFFF"/>
        </w:rPr>
        <w:t xml:space="preserve"> </w:t>
      </w:r>
      <w:r w:rsidR="006677BC" w:rsidRPr="00FB61EF">
        <w:rPr>
          <w:rFonts w:ascii="Arial" w:hAnsi="Arial" w:cs="Arial"/>
          <w:bCs/>
          <w:i/>
          <w:iCs/>
          <w:shd w:val="clear" w:color="auto" w:fill="FFFFFF"/>
        </w:rPr>
        <w:t>Beleuchtungs</w:t>
      </w:r>
      <w:r w:rsidR="00B73550" w:rsidRPr="00FB61EF">
        <w:rPr>
          <w:rFonts w:ascii="Arial" w:hAnsi="Arial" w:cs="Arial"/>
          <w:bCs/>
          <w:i/>
          <w:iCs/>
          <w:shd w:val="clear" w:color="auto" w:fill="FFFFFF"/>
        </w:rPr>
        <w:t>installationen</w:t>
      </w:r>
    </w:p>
    <w:p w14:paraId="0AD7C151" w14:textId="5BCECAC7" w:rsidR="00C362DE" w:rsidRDefault="002837D4" w:rsidP="009229FB">
      <w:pPr>
        <w:pStyle w:val="StandardWeb"/>
        <w:spacing w:before="0" w:beforeAutospacing="0" w:after="120" w:afterAutospacing="0" w:line="360" w:lineRule="auto"/>
        <w:jc w:val="both"/>
        <w:rPr>
          <w:rFonts w:ascii="Arial" w:hAnsi="Arial" w:cs="Arial"/>
          <w:b/>
          <w:bCs/>
          <w:sz w:val="22"/>
          <w:szCs w:val="22"/>
        </w:rPr>
      </w:pPr>
      <w:r w:rsidRPr="00C362DE">
        <w:rPr>
          <w:rFonts w:ascii="Arial" w:hAnsi="Arial" w:cs="Arial"/>
          <w:bCs/>
          <w:color w:val="333333"/>
          <w:sz w:val="22"/>
          <w:szCs w:val="22"/>
          <w:shd w:val="clear" w:color="auto" w:fill="FFFFFF"/>
        </w:rPr>
        <w:t>Hildesheim</w:t>
      </w:r>
      <w:r w:rsidRPr="00C362DE">
        <w:rPr>
          <w:rFonts w:ascii="Arial" w:hAnsi="Arial" w:cs="Arial"/>
          <w:bCs/>
          <w:sz w:val="22"/>
          <w:szCs w:val="22"/>
          <w:shd w:val="clear" w:color="auto" w:fill="FFFFFF"/>
        </w:rPr>
        <w:t>,</w:t>
      </w:r>
      <w:r w:rsidR="00C526CF" w:rsidRPr="00C362DE">
        <w:rPr>
          <w:rFonts w:ascii="Arial" w:hAnsi="Arial" w:cs="Arial"/>
          <w:bCs/>
          <w:sz w:val="22"/>
          <w:szCs w:val="22"/>
        </w:rPr>
        <w:t xml:space="preserve"> </w:t>
      </w:r>
      <w:r w:rsidR="0049464C">
        <w:rPr>
          <w:rFonts w:ascii="Arial" w:hAnsi="Arial" w:cs="Arial"/>
          <w:bCs/>
          <w:sz w:val="22"/>
          <w:szCs w:val="22"/>
        </w:rPr>
        <w:t xml:space="preserve">19. April </w:t>
      </w:r>
      <w:r w:rsidRPr="00C362DE">
        <w:rPr>
          <w:rFonts w:ascii="Arial" w:hAnsi="Arial" w:cs="Arial"/>
          <w:bCs/>
          <w:sz w:val="22"/>
          <w:szCs w:val="22"/>
        </w:rPr>
        <w:t>202</w:t>
      </w:r>
      <w:r w:rsidR="00575EF4" w:rsidRPr="00C362DE">
        <w:rPr>
          <w:rFonts w:ascii="Arial" w:hAnsi="Arial" w:cs="Arial"/>
          <w:bCs/>
          <w:sz w:val="22"/>
          <w:szCs w:val="22"/>
        </w:rPr>
        <w:t>3</w:t>
      </w:r>
      <w:r w:rsidR="001A1087" w:rsidRPr="00C362DE">
        <w:rPr>
          <w:rFonts w:ascii="Arial" w:hAnsi="Arial" w:cs="Arial"/>
          <w:sz w:val="22"/>
          <w:szCs w:val="22"/>
        </w:rPr>
        <w:t xml:space="preserve"> –</w:t>
      </w:r>
      <w:r w:rsidR="00312207" w:rsidRPr="00C362DE">
        <w:rPr>
          <w:rFonts w:ascii="Arial" w:hAnsi="Arial" w:cs="Arial"/>
          <w:sz w:val="22"/>
          <w:szCs w:val="22"/>
        </w:rPr>
        <w:t xml:space="preserve"> </w:t>
      </w:r>
      <w:r w:rsidR="00456266">
        <w:rPr>
          <w:rFonts w:ascii="Arial" w:hAnsi="Arial" w:cs="Arial"/>
          <w:b/>
          <w:bCs/>
          <w:sz w:val="22"/>
          <w:szCs w:val="22"/>
        </w:rPr>
        <w:t>Die Vielseitigkeit der C80 G2</w:t>
      </w:r>
      <w:r w:rsidR="00BA0FE1">
        <w:rPr>
          <w:rFonts w:ascii="Arial" w:hAnsi="Arial" w:cs="Arial"/>
          <w:b/>
          <w:bCs/>
          <w:sz w:val="22"/>
          <w:szCs w:val="22"/>
        </w:rPr>
        <w:t>-Serie</w:t>
      </w:r>
      <w:r w:rsidR="00456266">
        <w:rPr>
          <w:rFonts w:ascii="Arial" w:hAnsi="Arial" w:cs="Arial"/>
          <w:b/>
          <w:bCs/>
          <w:sz w:val="22"/>
          <w:szCs w:val="22"/>
        </w:rPr>
        <w:t xml:space="preserve"> steckt in ihrer schlanken, wandelbaren Form. Aus den hochwertigen Lichtlinien lassen sich mit Hilfe von Eckverbindern und Endkappen L-, U-, S-, und sogar T- und X-förmige Strukturen erstellen, die die Leuchte</w:t>
      </w:r>
      <w:r w:rsidR="00BA0FE1">
        <w:rPr>
          <w:rFonts w:ascii="Arial" w:hAnsi="Arial" w:cs="Arial"/>
          <w:b/>
          <w:bCs/>
          <w:sz w:val="22"/>
          <w:szCs w:val="22"/>
        </w:rPr>
        <w:t>n</w:t>
      </w:r>
      <w:r w:rsidR="00456266">
        <w:rPr>
          <w:rFonts w:ascii="Arial" w:hAnsi="Arial" w:cs="Arial"/>
          <w:b/>
          <w:bCs/>
          <w:sz w:val="22"/>
          <w:szCs w:val="22"/>
        </w:rPr>
        <w:t xml:space="preserve"> für eine Vielzahl von Beleuchtungsprojekten qualifizieren. Drei Gehäusefarben, </w:t>
      </w:r>
      <w:r w:rsidR="00B73550">
        <w:rPr>
          <w:rFonts w:ascii="Arial" w:hAnsi="Arial" w:cs="Arial"/>
          <w:b/>
          <w:bCs/>
          <w:sz w:val="22"/>
          <w:szCs w:val="22"/>
        </w:rPr>
        <w:t>maßgeschneiderte P</w:t>
      </w:r>
      <w:r w:rsidR="00456266">
        <w:rPr>
          <w:rFonts w:ascii="Arial" w:hAnsi="Arial" w:cs="Arial"/>
          <w:b/>
          <w:bCs/>
          <w:sz w:val="22"/>
          <w:szCs w:val="22"/>
        </w:rPr>
        <w:t xml:space="preserve">rofillängen und verschiedene </w:t>
      </w:r>
      <w:proofErr w:type="spellStart"/>
      <w:r w:rsidR="00456266">
        <w:rPr>
          <w:rFonts w:ascii="Arial" w:hAnsi="Arial" w:cs="Arial"/>
          <w:b/>
          <w:bCs/>
          <w:sz w:val="22"/>
          <w:szCs w:val="22"/>
        </w:rPr>
        <w:t>Lumenpakete</w:t>
      </w:r>
      <w:proofErr w:type="spellEnd"/>
      <w:r w:rsidR="00B73550">
        <w:rPr>
          <w:rFonts w:ascii="Arial" w:hAnsi="Arial" w:cs="Arial"/>
          <w:b/>
          <w:bCs/>
          <w:sz w:val="22"/>
          <w:szCs w:val="22"/>
        </w:rPr>
        <w:t xml:space="preserve"> und Optiken</w:t>
      </w:r>
      <w:r w:rsidR="00456266">
        <w:rPr>
          <w:rFonts w:ascii="Arial" w:hAnsi="Arial" w:cs="Arial"/>
          <w:b/>
          <w:bCs/>
          <w:sz w:val="22"/>
          <w:szCs w:val="22"/>
        </w:rPr>
        <w:t xml:space="preserve"> sorgen für maximale Flexibilität bei der Planung und Gestaltung</w:t>
      </w:r>
      <w:r w:rsidR="00D0339D">
        <w:rPr>
          <w:rFonts w:ascii="Arial" w:hAnsi="Arial" w:cs="Arial"/>
          <w:b/>
          <w:bCs/>
          <w:sz w:val="22"/>
          <w:szCs w:val="22"/>
        </w:rPr>
        <w:t xml:space="preserve"> des angestrebten Lichtdesigns</w:t>
      </w:r>
      <w:r w:rsidR="00456266">
        <w:rPr>
          <w:rFonts w:ascii="Arial" w:hAnsi="Arial" w:cs="Arial"/>
          <w:b/>
          <w:bCs/>
          <w:sz w:val="22"/>
          <w:szCs w:val="22"/>
        </w:rPr>
        <w:t xml:space="preserve">. </w:t>
      </w:r>
      <w:r w:rsidR="003B6C6B">
        <w:rPr>
          <w:rFonts w:ascii="Arial" w:hAnsi="Arial" w:cs="Arial"/>
          <w:b/>
          <w:bCs/>
          <w:sz w:val="22"/>
          <w:szCs w:val="22"/>
        </w:rPr>
        <w:t xml:space="preserve">Die Integration von </w:t>
      </w:r>
      <w:r w:rsidR="00D0339D">
        <w:rPr>
          <w:rFonts w:ascii="Arial" w:hAnsi="Arial" w:cs="Arial"/>
          <w:b/>
          <w:bCs/>
          <w:sz w:val="22"/>
          <w:szCs w:val="22"/>
        </w:rPr>
        <w:t>Tageslicht- und Präsenzsensoren garantier</w:t>
      </w:r>
      <w:r w:rsidR="003B6C6B">
        <w:rPr>
          <w:rFonts w:ascii="Arial" w:hAnsi="Arial" w:cs="Arial"/>
          <w:b/>
          <w:bCs/>
          <w:sz w:val="22"/>
          <w:szCs w:val="22"/>
        </w:rPr>
        <w:t>t</w:t>
      </w:r>
      <w:r w:rsidR="00D0339D">
        <w:rPr>
          <w:rFonts w:ascii="Arial" w:hAnsi="Arial" w:cs="Arial"/>
          <w:b/>
          <w:bCs/>
          <w:sz w:val="22"/>
          <w:szCs w:val="22"/>
        </w:rPr>
        <w:t xml:space="preserve"> einen energiesparenden Betrieb. </w:t>
      </w:r>
    </w:p>
    <w:p w14:paraId="5EE20EC9" w14:textId="77777777" w:rsidR="00DC334E" w:rsidRDefault="00256353" w:rsidP="009229FB">
      <w:pPr>
        <w:pStyle w:val="StandardWeb"/>
        <w:spacing w:before="0" w:beforeAutospacing="0" w:after="120" w:afterAutospacing="0" w:line="360" w:lineRule="auto"/>
        <w:jc w:val="both"/>
        <w:rPr>
          <w:rFonts w:ascii="Arial" w:hAnsi="Arial" w:cs="Arial"/>
          <w:sz w:val="22"/>
          <w:szCs w:val="22"/>
        </w:rPr>
      </w:pPr>
      <w:r>
        <w:rPr>
          <w:rFonts w:ascii="Arial" w:hAnsi="Arial" w:cs="Arial"/>
          <w:sz w:val="22"/>
          <w:szCs w:val="22"/>
        </w:rPr>
        <w:t>Die</w:t>
      </w:r>
      <w:r w:rsidR="003B6C6B">
        <w:rPr>
          <w:rFonts w:ascii="Arial" w:hAnsi="Arial" w:cs="Arial"/>
          <w:sz w:val="22"/>
          <w:szCs w:val="22"/>
        </w:rPr>
        <w:t xml:space="preserve"> Leuchtenfamilie C80 G2 </w:t>
      </w:r>
      <w:r>
        <w:rPr>
          <w:rFonts w:ascii="Arial" w:hAnsi="Arial" w:cs="Arial"/>
          <w:sz w:val="22"/>
          <w:szCs w:val="22"/>
        </w:rPr>
        <w:t xml:space="preserve">ermöglicht die Planung und Montage </w:t>
      </w:r>
      <w:r w:rsidR="00421B89">
        <w:rPr>
          <w:rFonts w:ascii="Arial" w:hAnsi="Arial" w:cs="Arial"/>
          <w:sz w:val="22"/>
          <w:szCs w:val="22"/>
        </w:rPr>
        <w:t>von</w:t>
      </w:r>
      <w:r>
        <w:rPr>
          <w:rFonts w:ascii="Arial" w:hAnsi="Arial" w:cs="Arial"/>
          <w:sz w:val="22"/>
          <w:szCs w:val="22"/>
        </w:rPr>
        <w:t xml:space="preserve"> </w:t>
      </w:r>
      <w:r w:rsidR="00D62126">
        <w:rPr>
          <w:rFonts w:ascii="Arial" w:hAnsi="Arial" w:cs="Arial"/>
          <w:sz w:val="22"/>
          <w:szCs w:val="22"/>
        </w:rPr>
        <w:t>eindrucksvollen</w:t>
      </w:r>
      <w:r w:rsidR="00B73550">
        <w:rPr>
          <w:rFonts w:ascii="Arial" w:hAnsi="Arial" w:cs="Arial"/>
          <w:sz w:val="22"/>
          <w:szCs w:val="22"/>
        </w:rPr>
        <w:t xml:space="preserve"> </w:t>
      </w:r>
      <w:r>
        <w:rPr>
          <w:rFonts w:ascii="Arial" w:hAnsi="Arial" w:cs="Arial"/>
          <w:sz w:val="22"/>
          <w:szCs w:val="22"/>
        </w:rPr>
        <w:t>Lichtlinien</w:t>
      </w:r>
      <w:r w:rsidR="00421B89">
        <w:rPr>
          <w:rFonts w:ascii="Arial" w:hAnsi="Arial" w:cs="Arial"/>
          <w:sz w:val="22"/>
          <w:szCs w:val="22"/>
        </w:rPr>
        <w:t>-S</w:t>
      </w:r>
      <w:r>
        <w:rPr>
          <w:rFonts w:ascii="Arial" w:hAnsi="Arial" w:cs="Arial"/>
          <w:sz w:val="22"/>
          <w:szCs w:val="22"/>
        </w:rPr>
        <w:t>ysteme</w:t>
      </w:r>
      <w:r w:rsidR="00421B89">
        <w:rPr>
          <w:rFonts w:ascii="Arial" w:hAnsi="Arial" w:cs="Arial"/>
          <w:sz w:val="22"/>
          <w:szCs w:val="22"/>
        </w:rPr>
        <w:t>n</w:t>
      </w:r>
      <w:r>
        <w:rPr>
          <w:rFonts w:ascii="Arial" w:hAnsi="Arial" w:cs="Arial"/>
          <w:sz w:val="22"/>
          <w:szCs w:val="22"/>
        </w:rPr>
        <w:t xml:space="preserve">. </w:t>
      </w:r>
      <w:r w:rsidR="00A315EE">
        <w:rPr>
          <w:rFonts w:ascii="Arial" w:hAnsi="Arial" w:cs="Arial"/>
          <w:sz w:val="22"/>
          <w:szCs w:val="22"/>
        </w:rPr>
        <w:t xml:space="preserve">Durch niedrige, mittlere und hohe </w:t>
      </w:r>
      <w:proofErr w:type="spellStart"/>
      <w:r w:rsidR="00A315EE">
        <w:rPr>
          <w:rFonts w:ascii="Arial" w:hAnsi="Arial" w:cs="Arial"/>
          <w:sz w:val="22"/>
          <w:szCs w:val="22"/>
        </w:rPr>
        <w:t>Lumenpakete</w:t>
      </w:r>
      <w:proofErr w:type="spellEnd"/>
      <w:r w:rsidR="00A315EE">
        <w:rPr>
          <w:rFonts w:ascii="Arial" w:hAnsi="Arial" w:cs="Arial"/>
          <w:sz w:val="22"/>
          <w:szCs w:val="22"/>
        </w:rPr>
        <w:t xml:space="preserve"> lassen sich die </w:t>
      </w:r>
      <w:r>
        <w:rPr>
          <w:rFonts w:ascii="Arial" w:hAnsi="Arial" w:cs="Arial"/>
          <w:sz w:val="22"/>
          <w:szCs w:val="22"/>
        </w:rPr>
        <w:t>C80 G2-Lichtsystem</w:t>
      </w:r>
      <w:r w:rsidR="00A315EE">
        <w:rPr>
          <w:rFonts w:ascii="Arial" w:hAnsi="Arial" w:cs="Arial"/>
          <w:sz w:val="22"/>
          <w:szCs w:val="22"/>
        </w:rPr>
        <w:t>e</w:t>
      </w:r>
      <w:r>
        <w:rPr>
          <w:rFonts w:ascii="Arial" w:hAnsi="Arial" w:cs="Arial"/>
          <w:sz w:val="22"/>
          <w:szCs w:val="22"/>
        </w:rPr>
        <w:t xml:space="preserve"> optimal an das individuelle Anwendungsszenario </w:t>
      </w:r>
      <w:r w:rsidR="00A315EE">
        <w:rPr>
          <w:rFonts w:ascii="Arial" w:hAnsi="Arial" w:cs="Arial"/>
          <w:sz w:val="22"/>
          <w:szCs w:val="22"/>
        </w:rPr>
        <w:t xml:space="preserve">anpassen. </w:t>
      </w:r>
      <w:r w:rsidR="00D62126">
        <w:rPr>
          <w:rFonts w:ascii="Arial" w:hAnsi="Arial" w:cs="Arial"/>
          <w:sz w:val="22"/>
          <w:szCs w:val="22"/>
        </w:rPr>
        <w:t xml:space="preserve">Vier verschiedene Optiken sorgen für </w:t>
      </w:r>
      <w:r w:rsidR="006604F5">
        <w:rPr>
          <w:rFonts w:ascii="Arial" w:hAnsi="Arial" w:cs="Arial"/>
          <w:sz w:val="22"/>
          <w:szCs w:val="22"/>
        </w:rPr>
        <w:t>eine</w:t>
      </w:r>
      <w:r w:rsidR="00D62126">
        <w:rPr>
          <w:rFonts w:ascii="Arial" w:hAnsi="Arial" w:cs="Arial"/>
          <w:sz w:val="22"/>
          <w:szCs w:val="22"/>
        </w:rPr>
        <w:t xml:space="preserve"> </w:t>
      </w:r>
      <w:r w:rsidR="006604F5">
        <w:rPr>
          <w:rFonts w:ascii="Arial" w:hAnsi="Arial" w:cs="Arial"/>
          <w:sz w:val="22"/>
          <w:szCs w:val="22"/>
        </w:rPr>
        <w:t>hochwertige</w:t>
      </w:r>
      <w:r w:rsidR="00D62126">
        <w:rPr>
          <w:rFonts w:ascii="Arial" w:hAnsi="Arial" w:cs="Arial"/>
          <w:sz w:val="22"/>
          <w:szCs w:val="22"/>
        </w:rPr>
        <w:t xml:space="preserve"> Ausleuchtung. </w:t>
      </w:r>
      <w:r w:rsidR="00A315EE">
        <w:rPr>
          <w:rFonts w:ascii="Arial" w:hAnsi="Arial" w:cs="Arial"/>
          <w:sz w:val="22"/>
          <w:szCs w:val="22"/>
        </w:rPr>
        <w:t>Die opalen Optiken eignen sich hervorragend für die großflächige Beleuchtung von Korridoren und Empfangsbereichen. Die mikroprismatischen Varianten und die silbermatten Reflektoren sind eine ausgezeichnete Wahl für Arbeitsplätze und</w:t>
      </w:r>
      <w:r w:rsidR="00BA0FE1">
        <w:rPr>
          <w:rFonts w:ascii="Arial" w:hAnsi="Arial" w:cs="Arial"/>
          <w:sz w:val="22"/>
          <w:szCs w:val="22"/>
        </w:rPr>
        <w:t xml:space="preserve"> </w:t>
      </w:r>
      <w:r w:rsidR="00A315EE">
        <w:rPr>
          <w:rFonts w:ascii="Arial" w:hAnsi="Arial" w:cs="Arial"/>
          <w:sz w:val="22"/>
          <w:szCs w:val="22"/>
        </w:rPr>
        <w:t xml:space="preserve">andere Bereiche, die eine </w:t>
      </w:r>
      <w:r w:rsidR="00BA0FE1">
        <w:rPr>
          <w:rFonts w:ascii="Arial" w:hAnsi="Arial" w:cs="Arial"/>
          <w:sz w:val="22"/>
          <w:szCs w:val="22"/>
        </w:rPr>
        <w:t>geringe Blendung</w:t>
      </w:r>
      <w:r w:rsidR="00A315EE">
        <w:rPr>
          <w:rFonts w:ascii="Arial" w:hAnsi="Arial" w:cs="Arial"/>
          <w:sz w:val="22"/>
          <w:szCs w:val="22"/>
        </w:rPr>
        <w:t xml:space="preserve"> erfordern</w:t>
      </w:r>
      <w:r w:rsidR="00D62126">
        <w:rPr>
          <w:rFonts w:ascii="Arial" w:hAnsi="Arial" w:cs="Arial"/>
          <w:sz w:val="22"/>
          <w:szCs w:val="22"/>
        </w:rPr>
        <w:t>. Die weiß</w:t>
      </w:r>
      <w:r w:rsidR="00D62126" w:rsidRPr="00D62126">
        <w:rPr>
          <w:rFonts w:ascii="Arial" w:hAnsi="Arial" w:cs="Arial"/>
          <w:sz w:val="22"/>
          <w:szCs w:val="22"/>
        </w:rPr>
        <w:t>-matten Zelloptik-Reflektoren bieten eine ansprechende Optik und hohe Lichtqualität</w:t>
      </w:r>
      <w:r w:rsidR="006604F5">
        <w:rPr>
          <w:rFonts w:ascii="Arial" w:hAnsi="Arial" w:cs="Arial"/>
          <w:sz w:val="22"/>
          <w:szCs w:val="22"/>
        </w:rPr>
        <w:t xml:space="preserve"> für Besprechungsräume und andere Kommunikationszonen</w:t>
      </w:r>
      <w:r w:rsidR="00D62126" w:rsidRPr="00D62126">
        <w:rPr>
          <w:rFonts w:ascii="Arial" w:hAnsi="Arial" w:cs="Arial"/>
          <w:sz w:val="22"/>
          <w:szCs w:val="22"/>
        </w:rPr>
        <w:t xml:space="preserve">. </w:t>
      </w:r>
      <w:r w:rsidR="00BA0FE1">
        <w:rPr>
          <w:rFonts w:ascii="Arial" w:hAnsi="Arial" w:cs="Arial"/>
          <w:sz w:val="22"/>
          <w:szCs w:val="22"/>
        </w:rPr>
        <w:t>Die Einbauversion der C80 G2-Serie verfügt über einen Drop-out-Diffuser, der durch die Beleuchtung der Decke für indirektes Licht sorgt</w:t>
      </w:r>
      <w:r w:rsidR="00DC334E">
        <w:rPr>
          <w:rFonts w:ascii="Arial" w:hAnsi="Arial" w:cs="Arial"/>
          <w:sz w:val="22"/>
          <w:szCs w:val="22"/>
        </w:rPr>
        <w:t>. D</w:t>
      </w:r>
      <w:r w:rsidR="00BA0FE1">
        <w:rPr>
          <w:rFonts w:ascii="Arial" w:hAnsi="Arial" w:cs="Arial"/>
          <w:sz w:val="22"/>
          <w:szCs w:val="22"/>
        </w:rPr>
        <w:t xml:space="preserve">ie asymmetrische Optik der Wandversion ermöglicht eine Vielzahl von optisch-ansprechenden Beleuchtungseffekten. </w:t>
      </w:r>
    </w:p>
    <w:p w14:paraId="668408E6" w14:textId="265D285C" w:rsidR="00BA0FE1" w:rsidRDefault="00BD1617" w:rsidP="009229FB">
      <w:pPr>
        <w:pStyle w:val="StandardWeb"/>
        <w:spacing w:before="0" w:beforeAutospacing="0" w:after="120" w:afterAutospacing="0" w:line="360" w:lineRule="auto"/>
        <w:jc w:val="both"/>
        <w:rPr>
          <w:rFonts w:ascii="Arial" w:hAnsi="Arial" w:cs="Arial"/>
          <w:sz w:val="22"/>
          <w:szCs w:val="22"/>
        </w:rPr>
      </w:pPr>
      <w:r>
        <w:rPr>
          <w:rFonts w:ascii="Arial" w:hAnsi="Arial" w:cs="Arial"/>
          <w:sz w:val="22"/>
          <w:szCs w:val="22"/>
        </w:rPr>
        <w:t xml:space="preserve">Dank eines speziell für die C80 G2-Familie entwickelten Lichteinsatzsystems wird auch bei langen Lichtlinien von bis zu 25 Metern eine homogene Ausleuchtung ohne </w:t>
      </w:r>
      <w:r w:rsidR="0025797B">
        <w:rPr>
          <w:rFonts w:ascii="Arial" w:hAnsi="Arial" w:cs="Arial"/>
          <w:sz w:val="22"/>
          <w:szCs w:val="22"/>
        </w:rPr>
        <w:t>sichtbare</w:t>
      </w:r>
      <w:r>
        <w:rPr>
          <w:rFonts w:ascii="Arial" w:hAnsi="Arial" w:cs="Arial"/>
          <w:sz w:val="22"/>
          <w:szCs w:val="22"/>
        </w:rPr>
        <w:t xml:space="preserve"> Unterbrechungen e</w:t>
      </w:r>
      <w:r w:rsidR="00421B89">
        <w:rPr>
          <w:rFonts w:ascii="Arial" w:hAnsi="Arial" w:cs="Arial"/>
          <w:sz w:val="22"/>
          <w:szCs w:val="22"/>
        </w:rPr>
        <w:t>rreicht</w:t>
      </w:r>
      <w:r>
        <w:rPr>
          <w:rFonts w:ascii="Arial" w:hAnsi="Arial" w:cs="Arial"/>
          <w:sz w:val="22"/>
          <w:szCs w:val="22"/>
        </w:rPr>
        <w:t xml:space="preserve">. </w:t>
      </w:r>
      <w:r w:rsidR="0025797B">
        <w:rPr>
          <w:rFonts w:ascii="Arial" w:hAnsi="Arial" w:cs="Arial"/>
          <w:sz w:val="22"/>
          <w:szCs w:val="22"/>
        </w:rPr>
        <w:t>Bei L-, U-, S-, T- oder X-förmigen Systemen</w:t>
      </w:r>
      <w:r>
        <w:rPr>
          <w:rFonts w:ascii="Arial" w:hAnsi="Arial" w:cs="Arial"/>
          <w:sz w:val="22"/>
          <w:szCs w:val="22"/>
        </w:rPr>
        <w:t xml:space="preserve"> </w:t>
      </w:r>
      <w:r w:rsidR="0025797B">
        <w:rPr>
          <w:rFonts w:ascii="Arial" w:hAnsi="Arial" w:cs="Arial"/>
          <w:sz w:val="22"/>
          <w:szCs w:val="22"/>
        </w:rPr>
        <w:t xml:space="preserve">unterstützen Eckverbinder </w:t>
      </w:r>
      <w:r>
        <w:rPr>
          <w:rFonts w:ascii="Arial" w:hAnsi="Arial" w:cs="Arial"/>
          <w:sz w:val="22"/>
          <w:szCs w:val="22"/>
        </w:rPr>
        <w:t xml:space="preserve">mit </w:t>
      </w:r>
      <w:proofErr w:type="spellStart"/>
      <w:r>
        <w:rPr>
          <w:rFonts w:ascii="Arial" w:hAnsi="Arial" w:cs="Arial"/>
          <w:sz w:val="22"/>
          <w:szCs w:val="22"/>
        </w:rPr>
        <w:t>opaler</w:t>
      </w:r>
      <w:proofErr w:type="spellEnd"/>
      <w:r>
        <w:rPr>
          <w:rFonts w:ascii="Arial" w:hAnsi="Arial" w:cs="Arial"/>
          <w:sz w:val="22"/>
          <w:szCs w:val="22"/>
        </w:rPr>
        <w:t xml:space="preserve"> oder mikroprismatischer Optik</w:t>
      </w:r>
      <w:r w:rsidR="0025797B">
        <w:rPr>
          <w:rFonts w:ascii="Arial" w:hAnsi="Arial" w:cs="Arial"/>
          <w:sz w:val="22"/>
          <w:szCs w:val="22"/>
        </w:rPr>
        <w:t xml:space="preserve"> den harmonischen Gesamteindruck des Lichtsystems. </w:t>
      </w:r>
    </w:p>
    <w:p w14:paraId="4C1B15B7" w14:textId="77777777" w:rsidR="00BC5983" w:rsidRDefault="00BC5983" w:rsidP="00BA0FE1">
      <w:pPr>
        <w:spacing w:after="120" w:line="360" w:lineRule="auto"/>
        <w:jc w:val="both"/>
        <w:rPr>
          <w:rFonts w:ascii="Arial" w:hAnsi="Arial" w:cs="Arial"/>
          <w:b/>
          <w:bCs/>
          <w:sz w:val="22"/>
          <w:szCs w:val="22"/>
        </w:rPr>
      </w:pPr>
    </w:p>
    <w:p w14:paraId="0F7AB0BA" w14:textId="45684490" w:rsidR="00BA0FE1" w:rsidRDefault="0015587C" w:rsidP="00BA0FE1">
      <w:pPr>
        <w:spacing w:after="120" w:line="360" w:lineRule="auto"/>
        <w:jc w:val="both"/>
        <w:rPr>
          <w:rFonts w:ascii="Arial" w:hAnsi="Arial" w:cs="Arial"/>
          <w:b/>
          <w:bCs/>
          <w:sz w:val="22"/>
          <w:szCs w:val="22"/>
        </w:rPr>
      </w:pPr>
      <w:r>
        <w:rPr>
          <w:rFonts w:ascii="Arial" w:hAnsi="Arial" w:cs="Arial"/>
          <w:b/>
          <w:bCs/>
          <w:sz w:val="22"/>
          <w:szCs w:val="22"/>
        </w:rPr>
        <w:lastRenderedPageBreak/>
        <w:t>Einsparpotentiale nutzen</w:t>
      </w:r>
    </w:p>
    <w:p w14:paraId="1DAB0383" w14:textId="239F844A" w:rsidR="00BA0FE1" w:rsidRPr="003B6C6B" w:rsidRDefault="0015587C" w:rsidP="0015587C">
      <w:pPr>
        <w:spacing w:after="120" w:line="360" w:lineRule="auto"/>
        <w:jc w:val="both"/>
        <w:rPr>
          <w:rFonts w:ascii="Arial" w:hAnsi="Arial" w:cs="Arial"/>
          <w:sz w:val="22"/>
          <w:szCs w:val="22"/>
        </w:rPr>
      </w:pPr>
      <w:r>
        <w:rPr>
          <w:rFonts w:ascii="Arial" w:hAnsi="Arial" w:cs="Arial"/>
          <w:sz w:val="22"/>
          <w:szCs w:val="22"/>
        </w:rPr>
        <w:t>Die</w:t>
      </w:r>
      <w:r w:rsidRPr="0015587C">
        <w:rPr>
          <w:rFonts w:ascii="Arial" w:hAnsi="Arial" w:cs="Arial"/>
          <w:sz w:val="22"/>
          <w:szCs w:val="22"/>
        </w:rPr>
        <w:t xml:space="preserve"> Kombination </w:t>
      </w:r>
      <w:r>
        <w:rPr>
          <w:rFonts w:ascii="Arial" w:hAnsi="Arial" w:cs="Arial"/>
          <w:sz w:val="22"/>
          <w:szCs w:val="22"/>
        </w:rPr>
        <w:t xml:space="preserve">aus </w:t>
      </w:r>
      <w:r w:rsidRPr="0015587C">
        <w:rPr>
          <w:rFonts w:ascii="Arial" w:hAnsi="Arial" w:cs="Arial"/>
          <w:sz w:val="22"/>
          <w:szCs w:val="22"/>
        </w:rPr>
        <w:t>hochwertige</w:t>
      </w:r>
      <w:r>
        <w:rPr>
          <w:rFonts w:ascii="Arial" w:hAnsi="Arial" w:cs="Arial"/>
          <w:sz w:val="22"/>
          <w:szCs w:val="22"/>
        </w:rPr>
        <w:t>n</w:t>
      </w:r>
      <w:r w:rsidRPr="0015587C">
        <w:rPr>
          <w:rFonts w:ascii="Arial" w:hAnsi="Arial" w:cs="Arial"/>
          <w:sz w:val="22"/>
          <w:szCs w:val="22"/>
        </w:rPr>
        <w:t xml:space="preserve"> Leuchten mit intelligenter </w:t>
      </w:r>
      <w:r>
        <w:rPr>
          <w:rFonts w:ascii="Arial" w:hAnsi="Arial" w:cs="Arial"/>
          <w:sz w:val="22"/>
          <w:szCs w:val="22"/>
        </w:rPr>
        <w:t xml:space="preserve">Technik spart Energie. </w:t>
      </w:r>
      <w:r w:rsidRPr="0015587C">
        <w:rPr>
          <w:rFonts w:ascii="Arial" w:hAnsi="Arial" w:cs="Arial"/>
          <w:sz w:val="22"/>
          <w:szCs w:val="22"/>
        </w:rPr>
        <w:t xml:space="preserve">Tageslicht- </w:t>
      </w:r>
      <w:r w:rsidRPr="00FB61EF">
        <w:rPr>
          <w:rFonts w:ascii="Arial" w:hAnsi="Arial" w:cs="Arial"/>
          <w:sz w:val="22"/>
          <w:szCs w:val="22"/>
        </w:rPr>
        <w:t xml:space="preserve">und Anwesenheitssensoren senken den Energieverbrauch bei Sanierungsprojekten um bis zu </w:t>
      </w:r>
      <w:r w:rsidR="006677BC" w:rsidRPr="00FB61EF">
        <w:rPr>
          <w:rFonts w:ascii="Arial" w:hAnsi="Arial" w:cs="Arial"/>
          <w:sz w:val="22"/>
          <w:szCs w:val="22"/>
        </w:rPr>
        <w:t>8</w:t>
      </w:r>
      <w:r w:rsidRPr="00FB61EF">
        <w:rPr>
          <w:rFonts w:ascii="Arial" w:hAnsi="Arial" w:cs="Arial"/>
          <w:sz w:val="22"/>
          <w:szCs w:val="22"/>
        </w:rPr>
        <w:t>0</w:t>
      </w:r>
      <w:r w:rsidR="00FB61EF" w:rsidRPr="00FB61EF">
        <w:rPr>
          <w:rFonts w:ascii="Arial" w:hAnsi="Arial" w:cs="Arial"/>
          <w:sz w:val="22"/>
          <w:szCs w:val="22"/>
        </w:rPr>
        <w:t> </w:t>
      </w:r>
      <w:r w:rsidRPr="00FB61EF">
        <w:rPr>
          <w:rFonts w:ascii="Arial" w:hAnsi="Arial" w:cs="Arial"/>
          <w:sz w:val="22"/>
          <w:szCs w:val="22"/>
        </w:rPr>
        <w:t xml:space="preserve">% und verlängern die Lebensdauer der Anlage. Ein weiterer Vorteil ist die Optimierung der Lichtqualität </w:t>
      </w:r>
      <w:r>
        <w:rPr>
          <w:rFonts w:ascii="Arial" w:hAnsi="Arial" w:cs="Arial"/>
          <w:sz w:val="22"/>
          <w:szCs w:val="22"/>
        </w:rPr>
        <w:t>und die damit einhergehende Verbesserung des Sehkomforts</w:t>
      </w:r>
      <w:r w:rsidRPr="0015587C">
        <w:rPr>
          <w:rFonts w:ascii="Arial" w:hAnsi="Arial" w:cs="Arial"/>
          <w:sz w:val="22"/>
          <w:szCs w:val="22"/>
        </w:rPr>
        <w:t xml:space="preserve">, </w:t>
      </w:r>
      <w:r w:rsidR="00BC5983">
        <w:rPr>
          <w:rFonts w:ascii="Arial" w:hAnsi="Arial" w:cs="Arial"/>
          <w:sz w:val="22"/>
          <w:szCs w:val="22"/>
        </w:rPr>
        <w:t>beispielsweise</w:t>
      </w:r>
      <w:r w:rsidRPr="0015587C">
        <w:rPr>
          <w:rFonts w:ascii="Arial" w:hAnsi="Arial" w:cs="Arial"/>
          <w:sz w:val="22"/>
          <w:szCs w:val="22"/>
        </w:rPr>
        <w:t xml:space="preserve"> </w:t>
      </w:r>
      <w:r>
        <w:rPr>
          <w:rFonts w:ascii="Arial" w:hAnsi="Arial" w:cs="Arial"/>
          <w:sz w:val="22"/>
          <w:szCs w:val="22"/>
        </w:rPr>
        <w:t xml:space="preserve">durch Nachahmung </w:t>
      </w:r>
      <w:r w:rsidRPr="0015587C">
        <w:rPr>
          <w:rFonts w:ascii="Arial" w:hAnsi="Arial" w:cs="Arial"/>
          <w:sz w:val="22"/>
          <w:szCs w:val="22"/>
        </w:rPr>
        <w:t>des Tageslichts.</w:t>
      </w:r>
      <w:r w:rsidR="009E2CB8">
        <w:rPr>
          <w:rFonts w:ascii="Arial" w:hAnsi="Arial" w:cs="Arial"/>
          <w:sz w:val="22"/>
          <w:szCs w:val="22"/>
        </w:rPr>
        <w:t xml:space="preserve"> </w:t>
      </w:r>
      <w:r>
        <w:rPr>
          <w:rFonts w:ascii="Arial" w:hAnsi="Arial" w:cs="Arial"/>
          <w:sz w:val="22"/>
          <w:szCs w:val="22"/>
        </w:rPr>
        <w:t>So</w:t>
      </w:r>
      <w:r w:rsidR="00421B89" w:rsidRPr="00421B89">
        <w:rPr>
          <w:rFonts w:ascii="Arial" w:hAnsi="Arial" w:cs="Arial"/>
          <w:sz w:val="22"/>
          <w:szCs w:val="22"/>
        </w:rPr>
        <w:t xml:space="preserve"> erhalten</w:t>
      </w:r>
      <w:r>
        <w:rPr>
          <w:rFonts w:ascii="Arial" w:hAnsi="Arial" w:cs="Arial"/>
          <w:sz w:val="22"/>
          <w:szCs w:val="22"/>
        </w:rPr>
        <w:t xml:space="preserve"> </w:t>
      </w:r>
      <w:r w:rsidR="00BC5983">
        <w:rPr>
          <w:rFonts w:ascii="Arial" w:hAnsi="Arial" w:cs="Arial"/>
          <w:sz w:val="22"/>
          <w:szCs w:val="22"/>
        </w:rPr>
        <w:t>die</w:t>
      </w:r>
      <w:r>
        <w:rPr>
          <w:rFonts w:ascii="Arial" w:hAnsi="Arial" w:cs="Arial"/>
          <w:sz w:val="22"/>
          <w:szCs w:val="22"/>
        </w:rPr>
        <w:t xml:space="preserve"> Kunden</w:t>
      </w:r>
      <w:r w:rsidR="00421B89" w:rsidRPr="00421B89">
        <w:rPr>
          <w:rFonts w:ascii="Arial" w:hAnsi="Arial" w:cs="Arial"/>
          <w:sz w:val="22"/>
          <w:szCs w:val="22"/>
        </w:rPr>
        <w:t xml:space="preserve"> eine nachhaltige Beleuchtungslösung, die an jede Spezifikation angepasst werden kann.</w:t>
      </w:r>
    </w:p>
    <w:p w14:paraId="5FA9632A" w14:textId="2FFCFDEE" w:rsidR="00BA6B90" w:rsidRDefault="00BA6B90" w:rsidP="00BA6B90">
      <w:pPr>
        <w:spacing w:after="120" w:line="360" w:lineRule="auto"/>
        <w:jc w:val="both"/>
        <w:rPr>
          <w:rFonts w:ascii="Arial" w:hAnsi="Arial" w:cs="Arial"/>
          <w:b/>
          <w:bCs/>
          <w:sz w:val="22"/>
          <w:szCs w:val="22"/>
        </w:rPr>
      </w:pPr>
      <w:r w:rsidRPr="00BA6B90">
        <w:rPr>
          <w:rFonts w:ascii="Arial" w:hAnsi="Arial" w:cs="Arial"/>
          <w:b/>
          <w:bCs/>
          <w:sz w:val="22"/>
          <w:szCs w:val="22"/>
        </w:rPr>
        <w:t>Technische Details</w:t>
      </w:r>
      <w:r w:rsidR="009C05EA">
        <w:rPr>
          <w:rFonts w:ascii="Arial" w:hAnsi="Arial" w:cs="Arial"/>
          <w:b/>
          <w:bCs/>
          <w:sz w:val="22"/>
          <w:szCs w:val="22"/>
        </w:rPr>
        <w:t xml:space="preserve"> und Verfügbarkeit</w:t>
      </w:r>
    </w:p>
    <w:p w14:paraId="6676F7BF" w14:textId="08240BC2" w:rsidR="0015587C" w:rsidRDefault="0015587C" w:rsidP="0015587C">
      <w:pPr>
        <w:spacing w:after="120" w:line="360" w:lineRule="auto"/>
        <w:jc w:val="both"/>
        <w:rPr>
          <w:rFonts w:ascii="Arial" w:hAnsi="Arial" w:cs="Arial"/>
          <w:sz w:val="22"/>
          <w:szCs w:val="22"/>
        </w:rPr>
      </w:pPr>
      <w:r>
        <w:rPr>
          <w:rFonts w:ascii="Arial" w:hAnsi="Arial" w:cs="Arial"/>
          <w:sz w:val="22"/>
          <w:szCs w:val="22"/>
        </w:rPr>
        <w:t xml:space="preserve">Die Deckeneinbau-, Pendel-, Anbau- und Wandleuchten der C80 G2-Serie stehen ab sofort in den Farbvarianten schwarz, weiß </w:t>
      </w:r>
      <w:r w:rsidRPr="00FB61EF">
        <w:rPr>
          <w:rFonts w:ascii="Arial" w:hAnsi="Arial" w:cs="Arial"/>
          <w:sz w:val="22"/>
          <w:szCs w:val="22"/>
        </w:rPr>
        <w:t xml:space="preserve">und </w:t>
      </w:r>
      <w:r w:rsidR="006677BC" w:rsidRPr="00FB61EF">
        <w:rPr>
          <w:rFonts w:ascii="Arial" w:hAnsi="Arial" w:cs="Arial"/>
          <w:sz w:val="22"/>
          <w:szCs w:val="22"/>
        </w:rPr>
        <w:t>a</w:t>
      </w:r>
      <w:r w:rsidRPr="00FB61EF">
        <w:rPr>
          <w:rFonts w:ascii="Arial" w:hAnsi="Arial" w:cs="Arial"/>
          <w:sz w:val="22"/>
          <w:szCs w:val="22"/>
        </w:rPr>
        <w:t>luminium</w:t>
      </w:r>
      <w:r w:rsidR="006677BC" w:rsidRPr="00FB61EF">
        <w:rPr>
          <w:rFonts w:ascii="Arial" w:hAnsi="Arial" w:cs="Arial"/>
          <w:sz w:val="22"/>
          <w:szCs w:val="22"/>
        </w:rPr>
        <w:t>grau</w:t>
      </w:r>
      <w:r w:rsidRPr="00FB61EF">
        <w:rPr>
          <w:rFonts w:ascii="Arial" w:hAnsi="Arial" w:cs="Arial"/>
          <w:sz w:val="22"/>
          <w:szCs w:val="22"/>
        </w:rPr>
        <w:t xml:space="preserve"> </w:t>
      </w:r>
      <w:r>
        <w:rPr>
          <w:rFonts w:ascii="Arial" w:hAnsi="Arial" w:cs="Arial"/>
          <w:sz w:val="22"/>
          <w:szCs w:val="22"/>
        </w:rPr>
        <w:t xml:space="preserve">zur Verfügung. Sechs Standardprofillängen </w:t>
      </w:r>
      <w:r w:rsidRPr="00421B89">
        <w:rPr>
          <w:rFonts w:ascii="Arial" w:hAnsi="Arial" w:cs="Arial"/>
          <w:sz w:val="22"/>
          <w:szCs w:val="22"/>
        </w:rPr>
        <w:t xml:space="preserve">(ca. 800 mm, 1100 mm, 1400 mm, 1700 mm, 2200 mm und 2800 mm) </w:t>
      </w:r>
      <w:r>
        <w:rPr>
          <w:rFonts w:ascii="Arial" w:hAnsi="Arial" w:cs="Arial"/>
          <w:sz w:val="22"/>
          <w:szCs w:val="22"/>
        </w:rPr>
        <w:t>und zahlreiche Befestigungsmöglichkeiten bieten eine hohe Flexibilität bei der Planung und Montage. Soll es noch individueller werden, können maßgeschneiderte Längen gewählt werden. Über einen webbasierten C80 G2-Systemkonfigurator lässt sich das geplante System mit wenigen Klicks individuell konfigurieren. Sobald eine Auswahl getroffen wurde, kann ein PDF generiert und die Bestellung abgeschickt werden.</w:t>
      </w:r>
    </w:p>
    <w:p w14:paraId="37F639EF" w14:textId="73E34183" w:rsidR="00BC5983" w:rsidRDefault="00BC5983" w:rsidP="00BC5983">
      <w:pPr>
        <w:spacing w:after="120" w:line="360" w:lineRule="auto"/>
        <w:jc w:val="both"/>
        <w:rPr>
          <w:rFonts w:ascii="Arial" w:hAnsi="Arial" w:cs="Arial"/>
          <w:sz w:val="22"/>
          <w:szCs w:val="22"/>
        </w:rPr>
      </w:pPr>
      <w:r>
        <w:rPr>
          <w:rFonts w:ascii="Arial" w:hAnsi="Arial" w:cs="Arial"/>
          <w:sz w:val="22"/>
          <w:szCs w:val="22"/>
        </w:rPr>
        <w:t>Weitere</w:t>
      </w:r>
      <w:r w:rsidR="0015587C">
        <w:rPr>
          <w:rFonts w:ascii="Arial" w:hAnsi="Arial" w:cs="Arial"/>
          <w:sz w:val="22"/>
          <w:szCs w:val="22"/>
        </w:rPr>
        <w:t xml:space="preserve"> Informationen </w:t>
      </w:r>
      <w:r>
        <w:rPr>
          <w:rFonts w:ascii="Arial" w:hAnsi="Arial" w:cs="Arial"/>
          <w:sz w:val="22"/>
          <w:szCs w:val="22"/>
        </w:rPr>
        <w:t>und technische Details zur Glamox</w:t>
      </w:r>
      <w:r w:rsidR="0015587C">
        <w:rPr>
          <w:rFonts w:ascii="Arial" w:hAnsi="Arial" w:cs="Arial"/>
          <w:sz w:val="22"/>
          <w:szCs w:val="22"/>
        </w:rPr>
        <w:t xml:space="preserve"> C80 G2-Serie </w:t>
      </w:r>
      <w:r>
        <w:rPr>
          <w:rFonts w:ascii="Arial" w:hAnsi="Arial" w:cs="Arial"/>
          <w:sz w:val="22"/>
          <w:szCs w:val="22"/>
        </w:rPr>
        <w:t>sind hier erhältlich</w:t>
      </w:r>
      <w:r w:rsidR="0015587C">
        <w:rPr>
          <w:rFonts w:ascii="Arial" w:hAnsi="Arial" w:cs="Arial"/>
          <w:sz w:val="22"/>
          <w:szCs w:val="22"/>
        </w:rPr>
        <w:t xml:space="preserve">: </w:t>
      </w:r>
      <w:hyperlink r:id="rId9" w:history="1">
        <w:r w:rsidRPr="00C16408">
          <w:rPr>
            <w:rStyle w:val="Hyperlink"/>
            <w:rFonts w:ascii="Arial" w:hAnsi="Arial" w:cs="Arial"/>
            <w:sz w:val="22"/>
            <w:szCs w:val="22"/>
          </w:rPr>
          <w:t>https://www.glamox.com/de/pbs/suchfunktio</w:t>
        </w:r>
        <w:r w:rsidRPr="00C16408">
          <w:rPr>
            <w:rStyle w:val="Hyperlink"/>
            <w:rFonts w:ascii="Arial" w:hAnsi="Arial" w:cs="Arial"/>
            <w:sz w:val="22"/>
            <w:szCs w:val="22"/>
          </w:rPr>
          <w:t>n/?query=c80%20g2&amp;page=1&amp;activeTab=0</w:t>
        </w:r>
      </w:hyperlink>
      <w:r>
        <w:rPr>
          <w:rFonts w:ascii="Arial" w:hAnsi="Arial" w:cs="Arial"/>
          <w:sz w:val="22"/>
          <w:szCs w:val="22"/>
        </w:rPr>
        <w:t xml:space="preserve"> </w:t>
      </w:r>
    </w:p>
    <w:p w14:paraId="7055295D" w14:textId="77777777" w:rsidR="00BC5983" w:rsidRDefault="00BC5983" w:rsidP="00BC5983">
      <w:pPr>
        <w:spacing w:after="120" w:line="360" w:lineRule="auto"/>
        <w:jc w:val="both"/>
        <w:rPr>
          <w:rFonts w:ascii="Arial" w:hAnsi="Arial" w:cs="Arial"/>
          <w:sz w:val="22"/>
          <w:szCs w:val="22"/>
        </w:rPr>
      </w:pPr>
    </w:p>
    <w:p w14:paraId="71C8CD56" w14:textId="77777777" w:rsidR="00BC5983" w:rsidRDefault="00BC5983" w:rsidP="00B37DF9">
      <w:pPr>
        <w:rPr>
          <w:rFonts w:ascii="Arial" w:hAnsi="Arial" w:cs="Arial"/>
          <w:b/>
          <w:bCs/>
          <w:color w:val="323130"/>
          <w:sz w:val="20"/>
          <w:szCs w:val="20"/>
          <w:shd w:val="clear" w:color="auto" w:fill="FFFFFF"/>
          <w:lang w:eastAsia="nb-NO"/>
        </w:rPr>
      </w:pPr>
    </w:p>
    <w:p w14:paraId="524AE967" w14:textId="77777777" w:rsidR="00BC5983" w:rsidRDefault="00BC5983" w:rsidP="00B37DF9">
      <w:pPr>
        <w:rPr>
          <w:rFonts w:ascii="Arial" w:hAnsi="Arial" w:cs="Arial"/>
          <w:b/>
          <w:bCs/>
          <w:color w:val="323130"/>
          <w:sz w:val="20"/>
          <w:szCs w:val="20"/>
          <w:shd w:val="clear" w:color="auto" w:fill="FFFFFF"/>
          <w:lang w:eastAsia="nb-NO"/>
        </w:rPr>
      </w:pPr>
    </w:p>
    <w:p w14:paraId="6CC0A0D7" w14:textId="1A5FB65A" w:rsidR="00BC5983" w:rsidRDefault="00BC5983" w:rsidP="00B37DF9">
      <w:pPr>
        <w:rPr>
          <w:rFonts w:ascii="Arial" w:hAnsi="Arial" w:cs="Arial"/>
          <w:b/>
          <w:bCs/>
          <w:color w:val="323130"/>
          <w:sz w:val="20"/>
          <w:szCs w:val="20"/>
          <w:shd w:val="clear" w:color="auto" w:fill="FFFFFF"/>
          <w:lang w:eastAsia="nb-NO"/>
        </w:rPr>
      </w:pPr>
    </w:p>
    <w:p w14:paraId="64E347E0" w14:textId="7E494A84" w:rsidR="00FB61EF" w:rsidRDefault="00FB61EF" w:rsidP="00B37DF9">
      <w:pPr>
        <w:rPr>
          <w:rFonts w:ascii="Arial" w:hAnsi="Arial" w:cs="Arial"/>
          <w:b/>
          <w:bCs/>
          <w:color w:val="323130"/>
          <w:sz w:val="20"/>
          <w:szCs w:val="20"/>
          <w:shd w:val="clear" w:color="auto" w:fill="FFFFFF"/>
          <w:lang w:eastAsia="nb-NO"/>
        </w:rPr>
      </w:pPr>
    </w:p>
    <w:p w14:paraId="5CBCAA9B" w14:textId="4CE9D180" w:rsidR="00FB61EF" w:rsidRDefault="00FB61EF" w:rsidP="00B37DF9">
      <w:pPr>
        <w:rPr>
          <w:rFonts w:ascii="Arial" w:hAnsi="Arial" w:cs="Arial"/>
          <w:b/>
          <w:bCs/>
          <w:color w:val="323130"/>
          <w:sz w:val="20"/>
          <w:szCs w:val="20"/>
          <w:shd w:val="clear" w:color="auto" w:fill="FFFFFF"/>
          <w:lang w:eastAsia="nb-NO"/>
        </w:rPr>
      </w:pPr>
    </w:p>
    <w:p w14:paraId="4117097F" w14:textId="2BD4197D" w:rsidR="00FB61EF" w:rsidRDefault="00FB61EF" w:rsidP="00B37DF9">
      <w:pPr>
        <w:rPr>
          <w:rFonts w:ascii="Arial" w:hAnsi="Arial" w:cs="Arial"/>
          <w:b/>
          <w:bCs/>
          <w:color w:val="323130"/>
          <w:sz w:val="20"/>
          <w:szCs w:val="20"/>
          <w:shd w:val="clear" w:color="auto" w:fill="FFFFFF"/>
          <w:lang w:eastAsia="nb-NO"/>
        </w:rPr>
      </w:pPr>
    </w:p>
    <w:p w14:paraId="02E2ADC6" w14:textId="77777777" w:rsidR="00FB61EF" w:rsidRDefault="00FB61EF" w:rsidP="00B37DF9">
      <w:pPr>
        <w:rPr>
          <w:rFonts w:ascii="Arial" w:hAnsi="Arial" w:cs="Arial"/>
          <w:b/>
          <w:bCs/>
          <w:color w:val="323130"/>
          <w:sz w:val="20"/>
          <w:szCs w:val="20"/>
          <w:shd w:val="clear" w:color="auto" w:fill="FFFFFF"/>
          <w:lang w:eastAsia="nb-NO"/>
        </w:rPr>
      </w:pPr>
    </w:p>
    <w:p w14:paraId="195BE4E8" w14:textId="77777777" w:rsidR="00BC5983" w:rsidRDefault="00BC5983" w:rsidP="00B37DF9">
      <w:pPr>
        <w:rPr>
          <w:rFonts w:ascii="Arial" w:hAnsi="Arial" w:cs="Arial"/>
          <w:b/>
          <w:bCs/>
          <w:color w:val="323130"/>
          <w:sz w:val="20"/>
          <w:szCs w:val="20"/>
          <w:shd w:val="clear" w:color="auto" w:fill="FFFFFF"/>
          <w:lang w:eastAsia="nb-NO"/>
        </w:rPr>
      </w:pPr>
    </w:p>
    <w:p w14:paraId="20F97886" w14:textId="1EE90710" w:rsidR="00DF6DD0" w:rsidRPr="00DF6DD0" w:rsidRDefault="00BC5983" w:rsidP="00B37DF9">
      <w:pPr>
        <w:rPr>
          <w:rFonts w:ascii="Arial" w:hAnsi="Arial" w:cs="Arial"/>
          <w:b/>
          <w:bCs/>
          <w:color w:val="323130"/>
          <w:sz w:val="20"/>
          <w:szCs w:val="20"/>
          <w:shd w:val="clear" w:color="auto" w:fill="FFFFFF"/>
          <w:lang w:eastAsia="nb-NO"/>
        </w:rPr>
      </w:pPr>
      <w:r>
        <w:rPr>
          <w:rFonts w:ascii="Arial" w:hAnsi="Arial" w:cs="Arial"/>
          <w:b/>
          <w:bCs/>
          <w:color w:val="323130"/>
          <w:sz w:val="20"/>
          <w:szCs w:val="20"/>
          <w:shd w:val="clear" w:color="auto" w:fill="FFFFFF"/>
          <w:lang w:eastAsia="nb-NO"/>
        </w:rPr>
        <w:t>G</w:t>
      </w:r>
      <w:r w:rsidR="00B37DF9" w:rsidRPr="00DF6DD0">
        <w:rPr>
          <w:rFonts w:ascii="Arial" w:hAnsi="Arial" w:cs="Arial"/>
          <w:b/>
          <w:bCs/>
          <w:color w:val="323130"/>
          <w:sz w:val="20"/>
          <w:szCs w:val="20"/>
          <w:shd w:val="clear" w:color="auto" w:fill="FFFFFF"/>
          <w:lang w:eastAsia="nb-NO"/>
        </w:rPr>
        <w:t>lamox GmbH</w:t>
      </w:r>
    </w:p>
    <w:p w14:paraId="6E70C9FA" w14:textId="77777777" w:rsidR="00DF6DD0" w:rsidRDefault="00DF6DD0" w:rsidP="00B37DF9">
      <w:pPr>
        <w:rPr>
          <w:rFonts w:ascii="Arial" w:hAnsi="Arial" w:cs="Arial"/>
          <w:color w:val="323130"/>
          <w:sz w:val="20"/>
          <w:szCs w:val="20"/>
          <w:lang w:eastAsia="nb-NO"/>
        </w:rPr>
      </w:pPr>
    </w:p>
    <w:p w14:paraId="7A3601DE" w14:textId="31ADAA73" w:rsidR="00B37DF9" w:rsidRPr="00DF6DD0" w:rsidRDefault="00B37DF9" w:rsidP="00B37DF9">
      <w:pPr>
        <w:rPr>
          <w:rFonts w:ascii="Arial" w:hAnsi="Arial" w:cs="Arial"/>
          <w:color w:val="323130"/>
          <w:sz w:val="20"/>
          <w:szCs w:val="20"/>
          <w:lang w:eastAsia="nb-NO"/>
        </w:rPr>
      </w:pPr>
      <w:r w:rsidRPr="00DF6DD0">
        <w:rPr>
          <w:rFonts w:ascii="Arial" w:hAnsi="Arial" w:cs="Arial"/>
          <w:color w:val="323130"/>
          <w:sz w:val="20"/>
          <w:szCs w:val="20"/>
          <w:lang w:eastAsia="nb-NO"/>
        </w:rPr>
        <w:t xml:space="preserve">Die Glamox GmbH ist ein führender Anbieter von Lichtlösungen für den professionellen, landbasierten Beleuchtungsmarkt in Deutschland, Österreich und der Schweiz. Wir bieten ein komplettes Produktsortiment </w:t>
      </w:r>
      <w:r w:rsidR="00DF6DD0" w:rsidRPr="00DF6DD0">
        <w:rPr>
          <w:rFonts w:ascii="Arial" w:hAnsi="Arial" w:cs="Arial"/>
          <w:color w:val="323130"/>
          <w:sz w:val="20"/>
          <w:szCs w:val="20"/>
          <w:lang w:eastAsia="nb-NO"/>
        </w:rPr>
        <w:t xml:space="preserve">an </w:t>
      </w:r>
      <w:r w:rsidRPr="00DF6DD0">
        <w:rPr>
          <w:rFonts w:ascii="Arial" w:hAnsi="Arial" w:cs="Arial"/>
          <w:color w:val="323130"/>
          <w:sz w:val="20"/>
          <w:szCs w:val="20"/>
          <w:lang w:eastAsia="nb-NO"/>
        </w:rPr>
        <w:t>für Bildungs- und Gesundheitseinrichtungen, gewerbliche und industrielle Bauten, Einzelhandel, Hotels sowie Restaurants.</w:t>
      </w:r>
    </w:p>
    <w:p w14:paraId="6B0FC0D0" w14:textId="77777777" w:rsidR="00B37DF9" w:rsidRPr="00DF6DD0" w:rsidRDefault="00B37DF9" w:rsidP="00B37DF9">
      <w:pPr>
        <w:rPr>
          <w:rFonts w:ascii="Arial" w:hAnsi="Arial" w:cs="Arial"/>
          <w:i/>
          <w:iCs/>
          <w:color w:val="323130"/>
          <w:sz w:val="20"/>
          <w:szCs w:val="20"/>
          <w:shd w:val="clear" w:color="auto" w:fill="FFFFFF"/>
        </w:rPr>
      </w:pPr>
    </w:p>
    <w:p w14:paraId="736B689C" w14:textId="77777777" w:rsidR="00D64CA9" w:rsidRDefault="00D64CA9" w:rsidP="00D64CA9">
      <w:pPr>
        <w:shd w:val="clear" w:color="auto" w:fill="FFFFFF"/>
        <w:rPr>
          <w:rFonts w:ascii="Arial" w:hAnsi="Arial" w:cs="Arial"/>
          <w:color w:val="323130"/>
          <w:sz w:val="20"/>
          <w:szCs w:val="20"/>
          <w:lang w:eastAsia="nb-NO"/>
        </w:rPr>
      </w:pPr>
      <w:r>
        <w:rPr>
          <w:rFonts w:ascii="Arial" w:hAnsi="Arial" w:cs="Arial"/>
          <w:color w:val="323130"/>
          <w:sz w:val="20"/>
          <w:szCs w:val="20"/>
          <w:lang w:eastAsia="nb-NO"/>
        </w:rPr>
        <w:t>Die Glamox GmbH ist Teil der Glamox Gruppe, einem norwegischen Industriekonzern, der professionelle Beleuchtungslösungen für den globalen Markt entwickelt, produziert und vertreibt. Die Glamox Gruppe beschäftigt rund 2.200 Mitarbeiter mit Vertriebs- und Produktionsstandorten in Europa, Asien und Amerika. Der Jahresumsatz 2022 betrug 343 MEUR. Unsere Lösungen werden über eine Reihe von Qualitätsmarken für Beleuchtung angeboten, darunter Glamox</w:t>
      </w:r>
      <w:r>
        <w:rPr>
          <w:rFonts w:ascii="Arial" w:hAnsi="Arial" w:cs="Arial"/>
          <w:color w:val="323130"/>
          <w:sz w:val="20"/>
          <w:szCs w:val="20"/>
          <w:shd w:val="clear" w:color="auto" w:fill="FFFFFF"/>
          <w:lang w:eastAsia="nb-NO"/>
        </w:rPr>
        <w:t xml:space="preserve">, Aqua Signal, Luxo, Norselight, LINKSrechts, Küttel, </w:t>
      </w:r>
      <w:proofErr w:type="spellStart"/>
      <w:r>
        <w:rPr>
          <w:rFonts w:ascii="Arial" w:hAnsi="Arial" w:cs="Arial"/>
          <w:color w:val="323130"/>
          <w:sz w:val="20"/>
          <w:szCs w:val="20"/>
          <w:shd w:val="clear" w:color="auto" w:fill="FFFFFF"/>
          <w:lang w:eastAsia="nb-NO"/>
        </w:rPr>
        <w:t>Luxonic</w:t>
      </w:r>
      <w:proofErr w:type="spellEnd"/>
      <w:r>
        <w:rPr>
          <w:rFonts w:ascii="Arial" w:hAnsi="Arial" w:cs="Arial"/>
          <w:color w:val="323130"/>
          <w:sz w:val="20"/>
          <w:szCs w:val="20"/>
          <w:shd w:val="clear" w:color="auto" w:fill="FFFFFF"/>
          <w:lang w:eastAsia="nb-NO"/>
        </w:rPr>
        <w:t xml:space="preserve">, ES-SYSTEM, </w:t>
      </w:r>
      <w:proofErr w:type="spellStart"/>
      <w:r>
        <w:rPr>
          <w:rFonts w:ascii="Arial" w:hAnsi="Arial" w:cs="Arial"/>
          <w:color w:val="323130"/>
          <w:sz w:val="20"/>
          <w:szCs w:val="20"/>
          <w:shd w:val="clear" w:color="auto" w:fill="FFFFFF"/>
          <w:lang w:eastAsia="nb-NO"/>
        </w:rPr>
        <w:t>LiteIP</w:t>
      </w:r>
      <w:proofErr w:type="spellEnd"/>
      <w:r>
        <w:rPr>
          <w:rFonts w:ascii="Arial" w:hAnsi="Arial" w:cs="Arial"/>
          <w:color w:val="323130"/>
          <w:sz w:val="20"/>
          <w:szCs w:val="20"/>
          <w:shd w:val="clear" w:color="auto" w:fill="FFFFFF"/>
          <w:lang w:eastAsia="nb-NO"/>
        </w:rPr>
        <w:t xml:space="preserve">, </w:t>
      </w:r>
      <w:proofErr w:type="spellStart"/>
      <w:r>
        <w:rPr>
          <w:rFonts w:ascii="Arial" w:hAnsi="Arial" w:cs="Arial"/>
          <w:color w:val="323130"/>
          <w:sz w:val="20"/>
          <w:szCs w:val="20"/>
          <w:shd w:val="clear" w:color="auto" w:fill="FFFFFF"/>
          <w:lang w:eastAsia="nb-NO"/>
        </w:rPr>
        <w:t>Luminell</w:t>
      </w:r>
      <w:proofErr w:type="spellEnd"/>
      <w:r>
        <w:rPr>
          <w:rFonts w:ascii="Arial" w:hAnsi="Arial" w:cs="Arial"/>
          <w:color w:val="323130"/>
          <w:sz w:val="20"/>
          <w:szCs w:val="20"/>
          <w:shd w:val="clear" w:color="auto" w:fill="FFFFFF"/>
          <w:lang w:eastAsia="nb-NO"/>
        </w:rPr>
        <w:t xml:space="preserve"> und Wasco.</w:t>
      </w:r>
      <w:r>
        <w:rPr>
          <w:rFonts w:ascii="Arial" w:hAnsi="Arial" w:cs="Arial"/>
          <w:sz w:val="20"/>
          <w:szCs w:val="20"/>
        </w:rPr>
        <w:t xml:space="preserve"> </w:t>
      </w:r>
      <w:r>
        <w:rPr>
          <w:rFonts w:ascii="Arial" w:hAnsi="Arial" w:cs="Arial"/>
          <w:color w:val="323130"/>
          <w:sz w:val="20"/>
          <w:szCs w:val="20"/>
          <w:lang w:eastAsia="nb-NO"/>
        </w:rPr>
        <w:t xml:space="preserve">Das Ziel der Glamox Gruppe ist es, nachhaltige Beleuchtungslösungen anzubieten, die die Leistungsfähigkeit und das Wohlbefinden der Menschen verbessern. </w:t>
      </w:r>
      <w:hyperlink r:id="rId10" w:history="1">
        <w:r>
          <w:rPr>
            <w:rStyle w:val="Hyperlink"/>
            <w:rFonts w:ascii="Arial" w:hAnsi="Arial" w:cs="Arial"/>
            <w:sz w:val="20"/>
            <w:szCs w:val="20"/>
            <w:lang w:eastAsia="nb-NO"/>
          </w:rPr>
          <w:t>www.glamox.de</w:t>
        </w:r>
      </w:hyperlink>
    </w:p>
    <w:p w14:paraId="732AED04" w14:textId="77777777" w:rsidR="00402FC4" w:rsidRPr="00DF6DD0" w:rsidRDefault="00402FC4" w:rsidP="00B37DF9">
      <w:pPr>
        <w:rPr>
          <w:rFonts w:ascii="Arial" w:hAnsi="Arial" w:cs="Arial"/>
          <w:sz w:val="20"/>
          <w:szCs w:val="20"/>
        </w:rPr>
      </w:pPr>
    </w:p>
    <w:bookmarkEnd w:id="0"/>
    <w:bookmarkEnd w:id="1"/>
    <w:p w14:paraId="07DDD4C3" w14:textId="77777777" w:rsidR="00DF6DD0" w:rsidRDefault="00DF6DD0" w:rsidP="00DB6FE4">
      <w:pPr>
        <w:outlineLvl w:val="0"/>
        <w:rPr>
          <w:rFonts w:ascii="Arial" w:hAnsi="Arial" w:cs="Arial"/>
          <w:b/>
          <w:sz w:val="20"/>
          <w:szCs w:val="20"/>
        </w:rPr>
      </w:pPr>
    </w:p>
    <w:p w14:paraId="6828FD13" w14:textId="25855A16" w:rsidR="00B5641D" w:rsidRPr="002D2BA8" w:rsidRDefault="00220815" w:rsidP="00DB6FE4">
      <w:pPr>
        <w:outlineLvl w:val="0"/>
        <w:rPr>
          <w:rFonts w:ascii="Arial" w:hAnsi="Arial" w:cs="Arial"/>
          <w:b/>
          <w:sz w:val="20"/>
          <w:szCs w:val="20"/>
        </w:rPr>
      </w:pPr>
      <w:r w:rsidRPr="002D2BA8">
        <w:rPr>
          <w:rFonts w:ascii="Arial" w:hAnsi="Arial" w:cs="Arial"/>
          <w:b/>
          <w:sz w:val="20"/>
          <w:szCs w:val="20"/>
        </w:rPr>
        <w:t>Pressekontakte</w:t>
      </w:r>
    </w:p>
    <w:p w14:paraId="0781B585" w14:textId="77777777" w:rsidR="00B5641D" w:rsidRPr="002D2BA8" w:rsidRDefault="00B5641D" w:rsidP="00DB6FE4">
      <w:pPr>
        <w:rPr>
          <w:rFonts w:ascii="Arial" w:hAnsi="Arial" w:cs="Arial"/>
          <w:sz w:val="20"/>
          <w:szCs w:val="20"/>
        </w:rPr>
      </w:pPr>
    </w:p>
    <w:p w14:paraId="161D6D36" w14:textId="332AE513" w:rsidR="00220815" w:rsidRPr="002D2BA8" w:rsidRDefault="00220815" w:rsidP="00DB6FE4">
      <w:pPr>
        <w:jc w:val="both"/>
        <w:outlineLvl w:val="0"/>
        <w:rPr>
          <w:rFonts w:ascii="Arial" w:hAnsi="Arial" w:cs="Arial"/>
          <w:sz w:val="20"/>
          <w:szCs w:val="20"/>
        </w:rPr>
      </w:pPr>
      <w:r w:rsidRPr="002D2BA8">
        <w:rPr>
          <w:rFonts w:ascii="Arial" w:hAnsi="Arial" w:cs="Arial"/>
          <w:sz w:val="20"/>
          <w:szCs w:val="20"/>
        </w:rPr>
        <w:t xml:space="preserve">Dipl.-Ing. Sabrina Catrin </w:t>
      </w:r>
      <w:r w:rsidR="004D3E5A" w:rsidRPr="002D2BA8">
        <w:rPr>
          <w:rFonts w:ascii="Arial" w:hAnsi="Arial" w:cs="Arial"/>
          <w:sz w:val="20"/>
          <w:szCs w:val="20"/>
        </w:rPr>
        <w:t>Dittmann</w:t>
      </w:r>
    </w:p>
    <w:p w14:paraId="01F36572" w14:textId="77777777" w:rsidR="00220815" w:rsidRPr="002D2BA8" w:rsidRDefault="00220815" w:rsidP="00DB6FE4">
      <w:pPr>
        <w:jc w:val="both"/>
        <w:rPr>
          <w:rFonts w:ascii="Arial" w:hAnsi="Arial" w:cs="Arial"/>
          <w:sz w:val="20"/>
          <w:szCs w:val="20"/>
        </w:rPr>
      </w:pPr>
      <w:r w:rsidRPr="002D2BA8">
        <w:rPr>
          <w:rFonts w:ascii="Arial" w:hAnsi="Arial" w:cs="Arial"/>
          <w:sz w:val="20"/>
          <w:szCs w:val="20"/>
        </w:rPr>
        <w:t>Lichtplanung &amp; Marketing</w:t>
      </w:r>
    </w:p>
    <w:p w14:paraId="65B3E2C2"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Linzer Str. 9a</w:t>
      </w:r>
    </w:p>
    <w:p w14:paraId="410F20EA"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28359 Bremen</w:t>
      </w:r>
    </w:p>
    <w:p w14:paraId="6146AAB8"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+49 421 485 70-71</w:t>
      </w:r>
    </w:p>
    <w:p w14:paraId="5F25CFD8" w14:textId="425CF9FE"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1" w:history="1">
        <w:r w:rsidR="004D3E5A" w:rsidRPr="002D2BA8">
          <w:rPr>
            <w:rStyle w:val="Hyperlink"/>
            <w:rFonts w:ascii="Arial" w:hAnsi="Arial" w:cs="Arial"/>
            <w:sz w:val="20"/>
            <w:szCs w:val="20"/>
          </w:rPr>
          <w:t>sabrina.dittmann@glamox.com</w:t>
        </w:r>
      </w:hyperlink>
    </w:p>
    <w:p w14:paraId="48A36982" w14:textId="77777777" w:rsidR="00220815" w:rsidRPr="002D2BA8" w:rsidRDefault="00220815" w:rsidP="008B220B">
      <w:pPr>
        <w:jc w:val="both"/>
        <w:rPr>
          <w:rFonts w:ascii="Arial" w:hAnsi="Arial" w:cs="Arial"/>
          <w:sz w:val="20"/>
          <w:szCs w:val="20"/>
        </w:rPr>
      </w:pPr>
    </w:p>
    <w:p w14:paraId="40138A7A"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Hauptsitz Glamox GmbH</w:t>
      </w:r>
    </w:p>
    <w:p w14:paraId="48B43386"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Daimlerring 25</w:t>
      </w:r>
    </w:p>
    <w:p w14:paraId="4429874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31135 Hildesheim</w:t>
      </w:r>
    </w:p>
    <w:p w14:paraId="0837825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5121 7060-0</w:t>
      </w:r>
    </w:p>
    <w:p w14:paraId="3511AF41" w14:textId="77777777" w:rsidR="00220815" w:rsidRPr="002D2BA8" w:rsidRDefault="00220815" w:rsidP="008B220B">
      <w:pPr>
        <w:jc w:val="both"/>
        <w:rPr>
          <w:rFonts w:ascii="Arial" w:hAnsi="Arial" w:cs="Arial"/>
          <w:sz w:val="20"/>
          <w:szCs w:val="20"/>
        </w:rPr>
      </w:pPr>
    </w:p>
    <w:p w14:paraId="027D25BC"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 xml:space="preserve">PR-Kontakt </w:t>
      </w:r>
    </w:p>
    <w:p w14:paraId="161D5DF6" w14:textId="77777777" w:rsidR="00220815" w:rsidRPr="002D2BA8" w:rsidRDefault="0079624F" w:rsidP="00C6336A">
      <w:pPr>
        <w:jc w:val="both"/>
        <w:outlineLvl w:val="0"/>
        <w:rPr>
          <w:rFonts w:ascii="Arial" w:hAnsi="Arial" w:cs="Arial"/>
          <w:b/>
          <w:sz w:val="20"/>
          <w:szCs w:val="20"/>
        </w:rPr>
      </w:pPr>
      <w:r w:rsidRPr="002D2BA8">
        <w:rPr>
          <w:rFonts w:ascii="Arial" w:hAnsi="Arial" w:cs="Arial"/>
          <w:b/>
          <w:sz w:val="20"/>
          <w:szCs w:val="20"/>
        </w:rPr>
        <w:t>Profil Marketing</w:t>
      </w:r>
    </w:p>
    <w:p w14:paraId="7FAA76D7" w14:textId="77777777" w:rsidR="00220815" w:rsidRPr="002D2BA8" w:rsidRDefault="00220815" w:rsidP="008B220B">
      <w:pPr>
        <w:jc w:val="both"/>
        <w:rPr>
          <w:rFonts w:ascii="Arial" w:hAnsi="Arial" w:cs="Arial"/>
          <w:sz w:val="20"/>
          <w:szCs w:val="20"/>
        </w:rPr>
      </w:pPr>
    </w:p>
    <w:p w14:paraId="499E0A18" w14:textId="77777777" w:rsidR="00220815" w:rsidRPr="005C23C0" w:rsidRDefault="0079624F" w:rsidP="00C6336A">
      <w:pPr>
        <w:jc w:val="both"/>
        <w:outlineLvl w:val="0"/>
        <w:rPr>
          <w:rFonts w:ascii="Arial" w:hAnsi="Arial" w:cs="Arial"/>
          <w:sz w:val="20"/>
          <w:szCs w:val="20"/>
        </w:rPr>
      </w:pPr>
      <w:r w:rsidRPr="005C23C0">
        <w:rPr>
          <w:rFonts w:ascii="Arial" w:hAnsi="Arial" w:cs="Arial"/>
          <w:sz w:val="20"/>
          <w:szCs w:val="20"/>
        </w:rPr>
        <w:t>Stefan Winter</w:t>
      </w:r>
    </w:p>
    <w:p w14:paraId="4EF61B73" w14:textId="77777777" w:rsidR="00220815" w:rsidRPr="002D2BA8" w:rsidRDefault="0079624F" w:rsidP="008B220B">
      <w:pPr>
        <w:jc w:val="both"/>
        <w:rPr>
          <w:rFonts w:ascii="Arial" w:hAnsi="Arial" w:cs="Arial"/>
          <w:sz w:val="20"/>
          <w:szCs w:val="20"/>
          <w:lang w:val="en-US"/>
        </w:rPr>
      </w:pPr>
      <w:r w:rsidRPr="002D2BA8">
        <w:rPr>
          <w:rFonts w:ascii="Arial" w:hAnsi="Arial" w:cs="Arial"/>
          <w:sz w:val="20"/>
          <w:szCs w:val="20"/>
          <w:lang w:val="en-US"/>
        </w:rPr>
        <w:t>Public Relations</w:t>
      </w:r>
    </w:p>
    <w:p w14:paraId="5287F7B9" w14:textId="77777777" w:rsidR="00220815" w:rsidRPr="002D2BA8" w:rsidRDefault="00220815" w:rsidP="008B220B">
      <w:pPr>
        <w:jc w:val="both"/>
        <w:rPr>
          <w:rFonts w:ascii="Arial" w:hAnsi="Arial" w:cs="Arial"/>
          <w:sz w:val="20"/>
          <w:szCs w:val="20"/>
          <w:lang w:val="en-US"/>
        </w:rPr>
      </w:pPr>
      <w:proofErr w:type="spellStart"/>
      <w:r w:rsidRPr="002D2BA8">
        <w:rPr>
          <w:rFonts w:ascii="Arial" w:hAnsi="Arial" w:cs="Arial"/>
          <w:sz w:val="20"/>
          <w:szCs w:val="20"/>
          <w:lang w:val="en-US"/>
        </w:rPr>
        <w:t>Profil</w:t>
      </w:r>
      <w:proofErr w:type="spellEnd"/>
      <w:r w:rsidRPr="002D2BA8">
        <w:rPr>
          <w:rFonts w:ascii="Arial" w:hAnsi="Arial" w:cs="Arial"/>
          <w:sz w:val="20"/>
          <w:szCs w:val="20"/>
          <w:lang w:val="en-US"/>
        </w:rPr>
        <w:t xml:space="preserve"> Marketing OHG</w:t>
      </w:r>
    </w:p>
    <w:p w14:paraId="45375218" w14:textId="77777777" w:rsidR="00220815" w:rsidRPr="002D2BA8" w:rsidRDefault="00220815" w:rsidP="008B220B">
      <w:pPr>
        <w:jc w:val="both"/>
        <w:rPr>
          <w:rFonts w:ascii="Arial" w:hAnsi="Arial" w:cs="Arial"/>
          <w:sz w:val="20"/>
          <w:szCs w:val="20"/>
        </w:rPr>
      </w:pPr>
      <w:proofErr w:type="spellStart"/>
      <w:r w:rsidRPr="005C23C0">
        <w:rPr>
          <w:rFonts w:ascii="Arial" w:hAnsi="Arial" w:cs="Arial"/>
          <w:sz w:val="20"/>
          <w:szCs w:val="20"/>
          <w:lang w:val="en-US"/>
        </w:rPr>
        <w:t>Humboldtstr</w:t>
      </w:r>
      <w:proofErr w:type="spellEnd"/>
      <w:r w:rsidRPr="005C23C0">
        <w:rPr>
          <w:rFonts w:ascii="Arial" w:hAnsi="Arial" w:cs="Arial"/>
          <w:sz w:val="20"/>
          <w:szCs w:val="20"/>
          <w:lang w:val="en-US"/>
        </w:rPr>
        <w:t xml:space="preserve">. </w:t>
      </w:r>
      <w:r w:rsidRPr="002D2BA8">
        <w:rPr>
          <w:rFonts w:ascii="Arial" w:hAnsi="Arial" w:cs="Arial"/>
          <w:sz w:val="20"/>
          <w:szCs w:val="20"/>
        </w:rPr>
        <w:t>21</w:t>
      </w:r>
    </w:p>
    <w:p w14:paraId="76552D0B"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38106 Braunschweig</w:t>
      </w:r>
    </w:p>
    <w:p w14:paraId="3CAE0664" w14:textId="7A9341E5" w:rsidR="00220815" w:rsidRPr="002D2BA8" w:rsidRDefault="00220815" w:rsidP="008B220B">
      <w:pPr>
        <w:jc w:val="both"/>
        <w:rPr>
          <w:rFonts w:ascii="Arial" w:hAnsi="Arial" w:cs="Arial"/>
          <w:sz w:val="20"/>
          <w:szCs w:val="20"/>
        </w:rPr>
      </w:pPr>
      <w:r w:rsidRPr="002D2BA8">
        <w:rPr>
          <w:rFonts w:ascii="Arial" w:hAnsi="Arial" w:cs="Arial"/>
          <w:sz w:val="20"/>
          <w:szCs w:val="20"/>
        </w:rPr>
        <w:t>Tel.: +49 531 387 33</w:t>
      </w:r>
      <w:r w:rsidR="002D2BA8">
        <w:rPr>
          <w:rFonts w:ascii="Arial" w:hAnsi="Arial" w:cs="Arial"/>
          <w:sz w:val="20"/>
          <w:szCs w:val="20"/>
        </w:rPr>
        <w:t>-</w:t>
      </w:r>
      <w:r w:rsidRPr="002D2BA8">
        <w:rPr>
          <w:rFonts w:ascii="Arial" w:hAnsi="Arial" w:cs="Arial"/>
          <w:sz w:val="20"/>
          <w:szCs w:val="20"/>
        </w:rPr>
        <w:t>1</w:t>
      </w:r>
      <w:r w:rsidR="00264268" w:rsidRPr="002D2BA8">
        <w:rPr>
          <w:rFonts w:ascii="Arial" w:hAnsi="Arial" w:cs="Arial"/>
          <w:sz w:val="20"/>
          <w:szCs w:val="20"/>
        </w:rPr>
        <w:t>9</w:t>
      </w:r>
    </w:p>
    <w:p w14:paraId="7B380CDB"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2" w:history="1">
        <w:r w:rsidRPr="002D2BA8">
          <w:rPr>
            <w:rStyle w:val="Hyperlink"/>
            <w:rFonts w:ascii="Arial" w:hAnsi="Arial" w:cs="Arial"/>
            <w:sz w:val="20"/>
            <w:szCs w:val="20"/>
          </w:rPr>
          <w:t>s.winter@profil-marketing.com</w:t>
        </w:r>
      </w:hyperlink>
    </w:p>
    <w:sectPr w:rsidR="00220815" w:rsidRPr="002D2BA8" w:rsidSect="00AF106F">
      <w:pgSz w:w="12240" w:h="15840"/>
      <w:pgMar w:top="1440" w:right="1440" w:bottom="851"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40405" w14:textId="77777777" w:rsidR="00284C17" w:rsidRDefault="00284C17" w:rsidP="00B631F1">
      <w:r>
        <w:separator/>
      </w:r>
    </w:p>
  </w:endnote>
  <w:endnote w:type="continuationSeparator" w:id="0">
    <w:p w14:paraId="34C61B4F" w14:textId="77777777" w:rsidR="00284C17" w:rsidRDefault="00284C17" w:rsidP="00B6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49E51" w14:textId="77777777" w:rsidR="00284C17" w:rsidRDefault="00284C17" w:rsidP="00B631F1">
      <w:r>
        <w:separator/>
      </w:r>
    </w:p>
  </w:footnote>
  <w:footnote w:type="continuationSeparator" w:id="0">
    <w:p w14:paraId="7E353FE5" w14:textId="77777777" w:rsidR="00284C17" w:rsidRDefault="00284C17" w:rsidP="00B6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1449519">
    <w:abstractNumId w:val="0"/>
  </w:num>
  <w:num w:numId="2" w16cid:durableId="1311398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35"/>
    <w:rsid w:val="00000A24"/>
    <w:rsid w:val="00004B62"/>
    <w:rsid w:val="00017A4A"/>
    <w:rsid w:val="00020ED6"/>
    <w:rsid w:val="0002726E"/>
    <w:rsid w:val="00030591"/>
    <w:rsid w:val="00032944"/>
    <w:rsid w:val="00036679"/>
    <w:rsid w:val="00037EAA"/>
    <w:rsid w:val="000411D4"/>
    <w:rsid w:val="000424EC"/>
    <w:rsid w:val="00045966"/>
    <w:rsid w:val="000464B6"/>
    <w:rsid w:val="000502F2"/>
    <w:rsid w:val="00054935"/>
    <w:rsid w:val="0005603A"/>
    <w:rsid w:val="00065A37"/>
    <w:rsid w:val="00066FAB"/>
    <w:rsid w:val="00080743"/>
    <w:rsid w:val="00086AF1"/>
    <w:rsid w:val="0009353B"/>
    <w:rsid w:val="00096D6C"/>
    <w:rsid w:val="00097D1A"/>
    <w:rsid w:val="000A1489"/>
    <w:rsid w:val="000A4C16"/>
    <w:rsid w:val="000A52C2"/>
    <w:rsid w:val="000A5AF4"/>
    <w:rsid w:val="000A6E81"/>
    <w:rsid w:val="000B2E19"/>
    <w:rsid w:val="000B408D"/>
    <w:rsid w:val="000C145C"/>
    <w:rsid w:val="000C38F5"/>
    <w:rsid w:val="000C39B8"/>
    <w:rsid w:val="000C681A"/>
    <w:rsid w:val="000C7583"/>
    <w:rsid w:val="000D1065"/>
    <w:rsid w:val="000D2DCC"/>
    <w:rsid w:val="000D2E13"/>
    <w:rsid w:val="000E319C"/>
    <w:rsid w:val="000E3B53"/>
    <w:rsid w:val="000E5B93"/>
    <w:rsid w:val="000E5D07"/>
    <w:rsid w:val="000F1975"/>
    <w:rsid w:val="000F6147"/>
    <w:rsid w:val="000F6337"/>
    <w:rsid w:val="00104D9B"/>
    <w:rsid w:val="00107B05"/>
    <w:rsid w:val="00110202"/>
    <w:rsid w:val="0011331B"/>
    <w:rsid w:val="00116426"/>
    <w:rsid w:val="00121796"/>
    <w:rsid w:val="00123E9F"/>
    <w:rsid w:val="00124243"/>
    <w:rsid w:val="00136351"/>
    <w:rsid w:val="001375DC"/>
    <w:rsid w:val="00137EEE"/>
    <w:rsid w:val="00140A84"/>
    <w:rsid w:val="00141C63"/>
    <w:rsid w:val="00144B93"/>
    <w:rsid w:val="00145345"/>
    <w:rsid w:val="001544AB"/>
    <w:rsid w:val="0015587C"/>
    <w:rsid w:val="00162219"/>
    <w:rsid w:val="00162CDF"/>
    <w:rsid w:val="00172D55"/>
    <w:rsid w:val="001763FD"/>
    <w:rsid w:val="00180235"/>
    <w:rsid w:val="00183776"/>
    <w:rsid w:val="0018541C"/>
    <w:rsid w:val="00186072"/>
    <w:rsid w:val="0019184D"/>
    <w:rsid w:val="0019475B"/>
    <w:rsid w:val="00195ACF"/>
    <w:rsid w:val="001A1087"/>
    <w:rsid w:val="001A2A5B"/>
    <w:rsid w:val="001A4640"/>
    <w:rsid w:val="001B055B"/>
    <w:rsid w:val="001B14F4"/>
    <w:rsid w:val="001B1DD6"/>
    <w:rsid w:val="001B6120"/>
    <w:rsid w:val="001C1253"/>
    <w:rsid w:val="001C1A3F"/>
    <w:rsid w:val="001C2009"/>
    <w:rsid w:val="001C256D"/>
    <w:rsid w:val="001C42C9"/>
    <w:rsid w:val="001C4CC3"/>
    <w:rsid w:val="001C509A"/>
    <w:rsid w:val="001D183D"/>
    <w:rsid w:val="001D2F80"/>
    <w:rsid w:val="001D7B6F"/>
    <w:rsid w:val="001E1E5B"/>
    <w:rsid w:val="001E60D3"/>
    <w:rsid w:val="001F0BE8"/>
    <w:rsid w:val="00200853"/>
    <w:rsid w:val="002064EE"/>
    <w:rsid w:val="00211256"/>
    <w:rsid w:val="00214484"/>
    <w:rsid w:val="00217113"/>
    <w:rsid w:val="00220815"/>
    <w:rsid w:val="00221321"/>
    <w:rsid w:val="002222AE"/>
    <w:rsid w:val="0022410C"/>
    <w:rsid w:val="002257B8"/>
    <w:rsid w:val="00230F86"/>
    <w:rsid w:val="00233FE9"/>
    <w:rsid w:val="002343BF"/>
    <w:rsid w:val="002353F6"/>
    <w:rsid w:val="00235925"/>
    <w:rsid w:val="002422B3"/>
    <w:rsid w:val="0024731B"/>
    <w:rsid w:val="00247DC9"/>
    <w:rsid w:val="00250D2A"/>
    <w:rsid w:val="002546B0"/>
    <w:rsid w:val="002551BB"/>
    <w:rsid w:val="00255762"/>
    <w:rsid w:val="00256353"/>
    <w:rsid w:val="00256D57"/>
    <w:rsid w:val="002575E1"/>
    <w:rsid w:val="0025797B"/>
    <w:rsid w:val="0026363A"/>
    <w:rsid w:val="00264268"/>
    <w:rsid w:val="00264960"/>
    <w:rsid w:val="002702AA"/>
    <w:rsid w:val="00272576"/>
    <w:rsid w:val="0027265B"/>
    <w:rsid w:val="00273C48"/>
    <w:rsid w:val="0027470B"/>
    <w:rsid w:val="002761CF"/>
    <w:rsid w:val="00277BD7"/>
    <w:rsid w:val="00280B61"/>
    <w:rsid w:val="00281E91"/>
    <w:rsid w:val="002837D4"/>
    <w:rsid w:val="00284C17"/>
    <w:rsid w:val="00286BBE"/>
    <w:rsid w:val="00291A1A"/>
    <w:rsid w:val="00294039"/>
    <w:rsid w:val="002A3D5D"/>
    <w:rsid w:val="002B057E"/>
    <w:rsid w:val="002B7654"/>
    <w:rsid w:val="002C4DBB"/>
    <w:rsid w:val="002C6DDB"/>
    <w:rsid w:val="002C77E5"/>
    <w:rsid w:val="002C7F07"/>
    <w:rsid w:val="002D0564"/>
    <w:rsid w:val="002D11FB"/>
    <w:rsid w:val="002D2BA8"/>
    <w:rsid w:val="002D3AF3"/>
    <w:rsid w:val="002E4268"/>
    <w:rsid w:val="002E5686"/>
    <w:rsid w:val="002F5416"/>
    <w:rsid w:val="00300D24"/>
    <w:rsid w:val="003035FE"/>
    <w:rsid w:val="00306C13"/>
    <w:rsid w:val="00310838"/>
    <w:rsid w:val="00312207"/>
    <w:rsid w:val="00312D83"/>
    <w:rsid w:val="003167DC"/>
    <w:rsid w:val="003174FE"/>
    <w:rsid w:val="00323808"/>
    <w:rsid w:val="0032599C"/>
    <w:rsid w:val="00333959"/>
    <w:rsid w:val="00343DFD"/>
    <w:rsid w:val="003443E4"/>
    <w:rsid w:val="0034453E"/>
    <w:rsid w:val="0034772B"/>
    <w:rsid w:val="0035539D"/>
    <w:rsid w:val="00356CD4"/>
    <w:rsid w:val="0036270D"/>
    <w:rsid w:val="00363BF6"/>
    <w:rsid w:val="00376354"/>
    <w:rsid w:val="003763F3"/>
    <w:rsid w:val="00377F05"/>
    <w:rsid w:val="003802AD"/>
    <w:rsid w:val="00382048"/>
    <w:rsid w:val="00382EE5"/>
    <w:rsid w:val="003905D0"/>
    <w:rsid w:val="00391597"/>
    <w:rsid w:val="00394938"/>
    <w:rsid w:val="00395646"/>
    <w:rsid w:val="003956B7"/>
    <w:rsid w:val="003A7667"/>
    <w:rsid w:val="003B6C6B"/>
    <w:rsid w:val="003B7BFF"/>
    <w:rsid w:val="003C0228"/>
    <w:rsid w:val="003C0B2F"/>
    <w:rsid w:val="003C0E4F"/>
    <w:rsid w:val="003C19B4"/>
    <w:rsid w:val="003C4559"/>
    <w:rsid w:val="003D0391"/>
    <w:rsid w:val="003D13D1"/>
    <w:rsid w:val="003D26B0"/>
    <w:rsid w:val="003D4840"/>
    <w:rsid w:val="003D6E51"/>
    <w:rsid w:val="003D759F"/>
    <w:rsid w:val="003E0461"/>
    <w:rsid w:val="003E5144"/>
    <w:rsid w:val="003F6513"/>
    <w:rsid w:val="003F7293"/>
    <w:rsid w:val="003F7544"/>
    <w:rsid w:val="00402FC4"/>
    <w:rsid w:val="004055D7"/>
    <w:rsid w:val="004065AE"/>
    <w:rsid w:val="00406BFE"/>
    <w:rsid w:val="0041235D"/>
    <w:rsid w:val="00414818"/>
    <w:rsid w:val="00416508"/>
    <w:rsid w:val="00421B89"/>
    <w:rsid w:val="004266F3"/>
    <w:rsid w:val="00426993"/>
    <w:rsid w:val="004312B2"/>
    <w:rsid w:val="00431CB6"/>
    <w:rsid w:val="0043241A"/>
    <w:rsid w:val="00437791"/>
    <w:rsid w:val="00437AB8"/>
    <w:rsid w:val="00442ACB"/>
    <w:rsid w:val="00443771"/>
    <w:rsid w:val="004458A5"/>
    <w:rsid w:val="00451609"/>
    <w:rsid w:val="00451F43"/>
    <w:rsid w:val="00456266"/>
    <w:rsid w:val="00457A9E"/>
    <w:rsid w:val="00457B32"/>
    <w:rsid w:val="00463AC4"/>
    <w:rsid w:val="004644D4"/>
    <w:rsid w:val="00466F2D"/>
    <w:rsid w:val="00467CCE"/>
    <w:rsid w:val="00470DDE"/>
    <w:rsid w:val="00473530"/>
    <w:rsid w:val="00476102"/>
    <w:rsid w:val="00476658"/>
    <w:rsid w:val="004848DC"/>
    <w:rsid w:val="00486C46"/>
    <w:rsid w:val="0049231B"/>
    <w:rsid w:val="00492810"/>
    <w:rsid w:val="00492855"/>
    <w:rsid w:val="004942DC"/>
    <w:rsid w:val="0049464C"/>
    <w:rsid w:val="00494BB4"/>
    <w:rsid w:val="00497230"/>
    <w:rsid w:val="004A1379"/>
    <w:rsid w:val="004A2710"/>
    <w:rsid w:val="004A629B"/>
    <w:rsid w:val="004B1C72"/>
    <w:rsid w:val="004B35C6"/>
    <w:rsid w:val="004B3A58"/>
    <w:rsid w:val="004C2670"/>
    <w:rsid w:val="004C3F0B"/>
    <w:rsid w:val="004C436E"/>
    <w:rsid w:val="004C5D49"/>
    <w:rsid w:val="004D3E5A"/>
    <w:rsid w:val="004E1EBB"/>
    <w:rsid w:val="004E3B53"/>
    <w:rsid w:val="004F58E4"/>
    <w:rsid w:val="004F78DB"/>
    <w:rsid w:val="00505ED4"/>
    <w:rsid w:val="005142E0"/>
    <w:rsid w:val="0051645E"/>
    <w:rsid w:val="0052090F"/>
    <w:rsid w:val="005234DB"/>
    <w:rsid w:val="0052387A"/>
    <w:rsid w:val="00524A3B"/>
    <w:rsid w:val="00525053"/>
    <w:rsid w:val="005251F5"/>
    <w:rsid w:val="005302E2"/>
    <w:rsid w:val="00531601"/>
    <w:rsid w:val="0053382B"/>
    <w:rsid w:val="0053785F"/>
    <w:rsid w:val="00547670"/>
    <w:rsid w:val="00547F56"/>
    <w:rsid w:val="005509FE"/>
    <w:rsid w:val="00550E70"/>
    <w:rsid w:val="00552667"/>
    <w:rsid w:val="0055629C"/>
    <w:rsid w:val="00557D39"/>
    <w:rsid w:val="0056013B"/>
    <w:rsid w:val="00562598"/>
    <w:rsid w:val="005643DE"/>
    <w:rsid w:val="005650D7"/>
    <w:rsid w:val="00571C4E"/>
    <w:rsid w:val="0057519F"/>
    <w:rsid w:val="0057526C"/>
    <w:rsid w:val="00575EF4"/>
    <w:rsid w:val="005A0184"/>
    <w:rsid w:val="005A0D4D"/>
    <w:rsid w:val="005A243C"/>
    <w:rsid w:val="005A5967"/>
    <w:rsid w:val="005A76C0"/>
    <w:rsid w:val="005B206F"/>
    <w:rsid w:val="005B2AEE"/>
    <w:rsid w:val="005B53F4"/>
    <w:rsid w:val="005B62F0"/>
    <w:rsid w:val="005C1315"/>
    <w:rsid w:val="005C1AD5"/>
    <w:rsid w:val="005C23C0"/>
    <w:rsid w:val="005C34EE"/>
    <w:rsid w:val="005C3CBA"/>
    <w:rsid w:val="005D26C8"/>
    <w:rsid w:val="005D4EAC"/>
    <w:rsid w:val="005D69C5"/>
    <w:rsid w:val="005D7611"/>
    <w:rsid w:val="005E31C1"/>
    <w:rsid w:val="005E38B5"/>
    <w:rsid w:val="005E4D81"/>
    <w:rsid w:val="005E5DA1"/>
    <w:rsid w:val="0060058D"/>
    <w:rsid w:val="00601FF6"/>
    <w:rsid w:val="00602C0C"/>
    <w:rsid w:val="00602FA7"/>
    <w:rsid w:val="00607845"/>
    <w:rsid w:val="00610BC9"/>
    <w:rsid w:val="00611C7C"/>
    <w:rsid w:val="00614394"/>
    <w:rsid w:val="00617D95"/>
    <w:rsid w:val="00622223"/>
    <w:rsid w:val="006242B6"/>
    <w:rsid w:val="00625F24"/>
    <w:rsid w:val="0063039D"/>
    <w:rsid w:val="006319F2"/>
    <w:rsid w:val="00633997"/>
    <w:rsid w:val="00636DB2"/>
    <w:rsid w:val="00637FA9"/>
    <w:rsid w:val="006421E6"/>
    <w:rsid w:val="00642B15"/>
    <w:rsid w:val="006436A5"/>
    <w:rsid w:val="006452B1"/>
    <w:rsid w:val="006604F5"/>
    <w:rsid w:val="00663761"/>
    <w:rsid w:val="006677BC"/>
    <w:rsid w:val="0067257C"/>
    <w:rsid w:val="00673904"/>
    <w:rsid w:val="00674963"/>
    <w:rsid w:val="00674B07"/>
    <w:rsid w:val="0067724F"/>
    <w:rsid w:val="00682350"/>
    <w:rsid w:val="00683D51"/>
    <w:rsid w:val="00686711"/>
    <w:rsid w:val="0069078B"/>
    <w:rsid w:val="00695082"/>
    <w:rsid w:val="006A0AD5"/>
    <w:rsid w:val="006A3BB7"/>
    <w:rsid w:val="006B0276"/>
    <w:rsid w:val="006B0B70"/>
    <w:rsid w:val="006B43F3"/>
    <w:rsid w:val="006B5B42"/>
    <w:rsid w:val="006C018A"/>
    <w:rsid w:val="006C14EF"/>
    <w:rsid w:val="006C54B5"/>
    <w:rsid w:val="006C55DA"/>
    <w:rsid w:val="006D4264"/>
    <w:rsid w:val="006D7225"/>
    <w:rsid w:val="006E655D"/>
    <w:rsid w:val="006F0F9F"/>
    <w:rsid w:val="006F2E87"/>
    <w:rsid w:val="006F444A"/>
    <w:rsid w:val="006F475F"/>
    <w:rsid w:val="006F5E80"/>
    <w:rsid w:val="006F622A"/>
    <w:rsid w:val="006F72FE"/>
    <w:rsid w:val="00700131"/>
    <w:rsid w:val="00701E77"/>
    <w:rsid w:val="00705ACA"/>
    <w:rsid w:val="00706757"/>
    <w:rsid w:val="00715BE3"/>
    <w:rsid w:val="007166FE"/>
    <w:rsid w:val="0072257D"/>
    <w:rsid w:val="00723B96"/>
    <w:rsid w:val="007254E1"/>
    <w:rsid w:val="00731B4D"/>
    <w:rsid w:val="0073544E"/>
    <w:rsid w:val="007363B8"/>
    <w:rsid w:val="0073670E"/>
    <w:rsid w:val="00740661"/>
    <w:rsid w:val="00744CF7"/>
    <w:rsid w:val="007466F9"/>
    <w:rsid w:val="00746C44"/>
    <w:rsid w:val="007513C3"/>
    <w:rsid w:val="00752E49"/>
    <w:rsid w:val="00755840"/>
    <w:rsid w:val="00756C08"/>
    <w:rsid w:val="00760EFA"/>
    <w:rsid w:val="00761304"/>
    <w:rsid w:val="00761565"/>
    <w:rsid w:val="00764A0A"/>
    <w:rsid w:val="00767C95"/>
    <w:rsid w:val="0077157A"/>
    <w:rsid w:val="00775778"/>
    <w:rsid w:val="00784300"/>
    <w:rsid w:val="007929B8"/>
    <w:rsid w:val="007936E7"/>
    <w:rsid w:val="007947B9"/>
    <w:rsid w:val="0079624F"/>
    <w:rsid w:val="007A36C6"/>
    <w:rsid w:val="007A3906"/>
    <w:rsid w:val="007A7692"/>
    <w:rsid w:val="007B060D"/>
    <w:rsid w:val="007B3393"/>
    <w:rsid w:val="007B60D8"/>
    <w:rsid w:val="007B69E5"/>
    <w:rsid w:val="007B786E"/>
    <w:rsid w:val="007C06AB"/>
    <w:rsid w:val="007C46B0"/>
    <w:rsid w:val="007C5BF1"/>
    <w:rsid w:val="007D44C6"/>
    <w:rsid w:val="007D5556"/>
    <w:rsid w:val="007D63C1"/>
    <w:rsid w:val="007D6C02"/>
    <w:rsid w:val="007D7066"/>
    <w:rsid w:val="007E0A75"/>
    <w:rsid w:val="007E42AC"/>
    <w:rsid w:val="007E69D1"/>
    <w:rsid w:val="007F41A6"/>
    <w:rsid w:val="007F63E9"/>
    <w:rsid w:val="007F665E"/>
    <w:rsid w:val="00800E1A"/>
    <w:rsid w:val="00804C2E"/>
    <w:rsid w:val="00814905"/>
    <w:rsid w:val="00816443"/>
    <w:rsid w:val="00816656"/>
    <w:rsid w:val="00816792"/>
    <w:rsid w:val="00823D20"/>
    <w:rsid w:val="00824389"/>
    <w:rsid w:val="0082614E"/>
    <w:rsid w:val="00826DCB"/>
    <w:rsid w:val="008379A2"/>
    <w:rsid w:val="008441B8"/>
    <w:rsid w:val="00847352"/>
    <w:rsid w:val="0085117F"/>
    <w:rsid w:val="00853897"/>
    <w:rsid w:val="00857977"/>
    <w:rsid w:val="00860146"/>
    <w:rsid w:val="0086219E"/>
    <w:rsid w:val="00862215"/>
    <w:rsid w:val="00863492"/>
    <w:rsid w:val="00875B5D"/>
    <w:rsid w:val="00882515"/>
    <w:rsid w:val="00890842"/>
    <w:rsid w:val="0089141F"/>
    <w:rsid w:val="00892C2C"/>
    <w:rsid w:val="00895749"/>
    <w:rsid w:val="00896898"/>
    <w:rsid w:val="00896F6A"/>
    <w:rsid w:val="008A0073"/>
    <w:rsid w:val="008A0D33"/>
    <w:rsid w:val="008A4331"/>
    <w:rsid w:val="008A4772"/>
    <w:rsid w:val="008A4996"/>
    <w:rsid w:val="008B1EDB"/>
    <w:rsid w:val="008B220B"/>
    <w:rsid w:val="008B3887"/>
    <w:rsid w:val="008B4199"/>
    <w:rsid w:val="008B543D"/>
    <w:rsid w:val="008B5C0C"/>
    <w:rsid w:val="008B6FA3"/>
    <w:rsid w:val="008B71EA"/>
    <w:rsid w:val="008B7616"/>
    <w:rsid w:val="008C35B3"/>
    <w:rsid w:val="008D22DB"/>
    <w:rsid w:val="008D567E"/>
    <w:rsid w:val="008E029C"/>
    <w:rsid w:val="008E410E"/>
    <w:rsid w:val="008E5520"/>
    <w:rsid w:val="008F74B6"/>
    <w:rsid w:val="00901E1C"/>
    <w:rsid w:val="0090241A"/>
    <w:rsid w:val="009027DD"/>
    <w:rsid w:val="00905225"/>
    <w:rsid w:val="009078A8"/>
    <w:rsid w:val="009114FC"/>
    <w:rsid w:val="009131DB"/>
    <w:rsid w:val="00914172"/>
    <w:rsid w:val="009229FB"/>
    <w:rsid w:val="00925A39"/>
    <w:rsid w:val="0092652B"/>
    <w:rsid w:val="00926EA4"/>
    <w:rsid w:val="00931F40"/>
    <w:rsid w:val="00935BFF"/>
    <w:rsid w:val="00935D25"/>
    <w:rsid w:val="00936D70"/>
    <w:rsid w:val="00936EE8"/>
    <w:rsid w:val="0094088C"/>
    <w:rsid w:val="00940919"/>
    <w:rsid w:val="00941224"/>
    <w:rsid w:val="009412A3"/>
    <w:rsid w:val="00943190"/>
    <w:rsid w:val="00943EE7"/>
    <w:rsid w:val="0094556C"/>
    <w:rsid w:val="00951C51"/>
    <w:rsid w:val="009602BE"/>
    <w:rsid w:val="00973086"/>
    <w:rsid w:val="00995070"/>
    <w:rsid w:val="00997817"/>
    <w:rsid w:val="009A2C46"/>
    <w:rsid w:val="009A439A"/>
    <w:rsid w:val="009B313F"/>
    <w:rsid w:val="009B4FC0"/>
    <w:rsid w:val="009B60F3"/>
    <w:rsid w:val="009B6ABC"/>
    <w:rsid w:val="009C05EA"/>
    <w:rsid w:val="009C1C34"/>
    <w:rsid w:val="009C2752"/>
    <w:rsid w:val="009C65F6"/>
    <w:rsid w:val="009C6D99"/>
    <w:rsid w:val="009D04D4"/>
    <w:rsid w:val="009D747B"/>
    <w:rsid w:val="009E2A6B"/>
    <w:rsid w:val="009E2AB6"/>
    <w:rsid w:val="009E2C72"/>
    <w:rsid w:val="009E2CB8"/>
    <w:rsid w:val="009E4048"/>
    <w:rsid w:val="009E529F"/>
    <w:rsid w:val="009E5C30"/>
    <w:rsid w:val="009E73A5"/>
    <w:rsid w:val="009F6DCE"/>
    <w:rsid w:val="00A0261D"/>
    <w:rsid w:val="00A04148"/>
    <w:rsid w:val="00A06E1B"/>
    <w:rsid w:val="00A140DB"/>
    <w:rsid w:val="00A14272"/>
    <w:rsid w:val="00A14C7D"/>
    <w:rsid w:val="00A150F8"/>
    <w:rsid w:val="00A15AEF"/>
    <w:rsid w:val="00A20515"/>
    <w:rsid w:val="00A268E2"/>
    <w:rsid w:val="00A26F27"/>
    <w:rsid w:val="00A315EE"/>
    <w:rsid w:val="00A31B52"/>
    <w:rsid w:val="00A31F39"/>
    <w:rsid w:val="00A368AB"/>
    <w:rsid w:val="00A36DA3"/>
    <w:rsid w:val="00A5358E"/>
    <w:rsid w:val="00A5384F"/>
    <w:rsid w:val="00A575FB"/>
    <w:rsid w:val="00A64522"/>
    <w:rsid w:val="00A64B9D"/>
    <w:rsid w:val="00A73BD1"/>
    <w:rsid w:val="00A77DDE"/>
    <w:rsid w:val="00A8112D"/>
    <w:rsid w:val="00A85E6A"/>
    <w:rsid w:val="00A87B35"/>
    <w:rsid w:val="00A91E58"/>
    <w:rsid w:val="00A9237E"/>
    <w:rsid w:val="00A92686"/>
    <w:rsid w:val="00A92ED7"/>
    <w:rsid w:val="00AA7F41"/>
    <w:rsid w:val="00AB2A82"/>
    <w:rsid w:val="00AB6AC0"/>
    <w:rsid w:val="00AB6D95"/>
    <w:rsid w:val="00AC79D7"/>
    <w:rsid w:val="00AE15C3"/>
    <w:rsid w:val="00AE48EC"/>
    <w:rsid w:val="00AF0360"/>
    <w:rsid w:val="00AF106F"/>
    <w:rsid w:val="00AF1A90"/>
    <w:rsid w:val="00AF4F2F"/>
    <w:rsid w:val="00AF63A7"/>
    <w:rsid w:val="00B02F49"/>
    <w:rsid w:val="00B05F3D"/>
    <w:rsid w:val="00B07A84"/>
    <w:rsid w:val="00B147C3"/>
    <w:rsid w:val="00B162FA"/>
    <w:rsid w:val="00B21791"/>
    <w:rsid w:val="00B244EE"/>
    <w:rsid w:val="00B305A6"/>
    <w:rsid w:val="00B3603D"/>
    <w:rsid w:val="00B37B16"/>
    <w:rsid w:val="00B37DF9"/>
    <w:rsid w:val="00B40780"/>
    <w:rsid w:val="00B40CB9"/>
    <w:rsid w:val="00B467B7"/>
    <w:rsid w:val="00B46A82"/>
    <w:rsid w:val="00B47EE1"/>
    <w:rsid w:val="00B55761"/>
    <w:rsid w:val="00B5641D"/>
    <w:rsid w:val="00B61976"/>
    <w:rsid w:val="00B61991"/>
    <w:rsid w:val="00B62261"/>
    <w:rsid w:val="00B62ADB"/>
    <w:rsid w:val="00B631F1"/>
    <w:rsid w:val="00B639A4"/>
    <w:rsid w:val="00B73550"/>
    <w:rsid w:val="00B761D5"/>
    <w:rsid w:val="00B76495"/>
    <w:rsid w:val="00B76501"/>
    <w:rsid w:val="00B7744F"/>
    <w:rsid w:val="00B775E4"/>
    <w:rsid w:val="00B77739"/>
    <w:rsid w:val="00B8612B"/>
    <w:rsid w:val="00B8691E"/>
    <w:rsid w:val="00B86E36"/>
    <w:rsid w:val="00B907AB"/>
    <w:rsid w:val="00B910E4"/>
    <w:rsid w:val="00B913FB"/>
    <w:rsid w:val="00B93162"/>
    <w:rsid w:val="00B934AC"/>
    <w:rsid w:val="00BA0FE1"/>
    <w:rsid w:val="00BA2EE1"/>
    <w:rsid w:val="00BA4063"/>
    <w:rsid w:val="00BA4F9D"/>
    <w:rsid w:val="00BA6B90"/>
    <w:rsid w:val="00BB0CB3"/>
    <w:rsid w:val="00BB2412"/>
    <w:rsid w:val="00BB3F83"/>
    <w:rsid w:val="00BB4E6E"/>
    <w:rsid w:val="00BB5B8A"/>
    <w:rsid w:val="00BB659B"/>
    <w:rsid w:val="00BC0744"/>
    <w:rsid w:val="00BC1854"/>
    <w:rsid w:val="00BC3FD5"/>
    <w:rsid w:val="00BC568B"/>
    <w:rsid w:val="00BC5983"/>
    <w:rsid w:val="00BD07A2"/>
    <w:rsid w:val="00BD1617"/>
    <w:rsid w:val="00BD6AF6"/>
    <w:rsid w:val="00BE131E"/>
    <w:rsid w:val="00BE1F7E"/>
    <w:rsid w:val="00BE1FBE"/>
    <w:rsid w:val="00BE2C5C"/>
    <w:rsid w:val="00BE6024"/>
    <w:rsid w:val="00BE6771"/>
    <w:rsid w:val="00BF4EF6"/>
    <w:rsid w:val="00BF522D"/>
    <w:rsid w:val="00C027CC"/>
    <w:rsid w:val="00C03B65"/>
    <w:rsid w:val="00C04811"/>
    <w:rsid w:val="00C2038B"/>
    <w:rsid w:val="00C20A35"/>
    <w:rsid w:val="00C31911"/>
    <w:rsid w:val="00C33142"/>
    <w:rsid w:val="00C362DE"/>
    <w:rsid w:val="00C45390"/>
    <w:rsid w:val="00C46E7E"/>
    <w:rsid w:val="00C50A39"/>
    <w:rsid w:val="00C526CF"/>
    <w:rsid w:val="00C5368E"/>
    <w:rsid w:val="00C6336A"/>
    <w:rsid w:val="00C74EF8"/>
    <w:rsid w:val="00C75CE0"/>
    <w:rsid w:val="00C76120"/>
    <w:rsid w:val="00C837FF"/>
    <w:rsid w:val="00C87B16"/>
    <w:rsid w:val="00C924F5"/>
    <w:rsid w:val="00CA11F0"/>
    <w:rsid w:val="00CA6775"/>
    <w:rsid w:val="00CA71A0"/>
    <w:rsid w:val="00CC054E"/>
    <w:rsid w:val="00CC4213"/>
    <w:rsid w:val="00CD79FC"/>
    <w:rsid w:val="00CE0AB6"/>
    <w:rsid w:val="00CF2613"/>
    <w:rsid w:val="00CF3955"/>
    <w:rsid w:val="00CF5C4C"/>
    <w:rsid w:val="00D00357"/>
    <w:rsid w:val="00D01119"/>
    <w:rsid w:val="00D02AF1"/>
    <w:rsid w:val="00D0339D"/>
    <w:rsid w:val="00D10217"/>
    <w:rsid w:val="00D10777"/>
    <w:rsid w:val="00D11919"/>
    <w:rsid w:val="00D21D50"/>
    <w:rsid w:val="00D26CA5"/>
    <w:rsid w:val="00D32389"/>
    <w:rsid w:val="00D349AB"/>
    <w:rsid w:val="00D35110"/>
    <w:rsid w:val="00D36BAD"/>
    <w:rsid w:val="00D379BE"/>
    <w:rsid w:val="00D403E5"/>
    <w:rsid w:val="00D41CE2"/>
    <w:rsid w:val="00D50A6E"/>
    <w:rsid w:val="00D5525C"/>
    <w:rsid w:val="00D56407"/>
    <w:rsid w:val="00D565B8"/>
    <w:rsid w:val="00D62126"/>
    <w:rsid w:val="00D62AEB"/>
    <w:rsid w:val="00D63921"/>
    <w:rsid w:val="00D63C8F"/>
    <w:rsid w:val="00D64CA9"/>
    <w:rsid w:val="00D71054"/>
    <w:rsid w:val="00D80B68"/>
    <w:rsid w:val="00D8461F"/>
    <w:rsid w:val="00D937EB"/>
    <w:rsid w:val="00D95419"/>
    <w:rsid w:val="00D95846"/>
    <w:rsid w:val="00DA33A7"/>
    <w:rsid w:val="00DA427F"/>
    <w:rsid w:val="00DA72B6"/>
    <w:rsid w:val="00DB3294"/>
    <w:rsid w:val="00DB4B99"/>
    <w:rsid w:val="00DB6FE4"/>
    <w:rsid w:val="00DC00C9"/>
    <w:rsid w:val="00DC334E"/>
    <w:rsid w:val="00DC471E"/>
    <w:rsid w:val="00DC5325"/>
    <w:rsid w:val="00DD17EF"/>
    <w:rsid w:val="00DD203A"/>
    <w:rsid w:val="00DD5333"/>
    <w:rsid w:val="00DD6BE7"/>
    <w:rsid w:val="00DD74C8"/>
    <w:rsid w:val="00DD784A"/>
    <w:rsid w:val="00DE2001"/>
    <w:rsid w:val="00DE4C1E"/>
    <w:rsid w:val="00DE5C7C"/>
    <w:rsid w:val="00DE7D60"/>
    <w:rsid w:val="00DF2799"/>
    <w:rsid w:val="00DF33D8"/>
    <w:rsid w:val="00DF4781"/>
    <w:rsid w:val="00DF6DD0"/>
    <w:rsid w:val="00E011A1"/>
    <w:rsid w:val="00E100B0"/>
    <w:rsid w:val="00E12773"/>
    <w:rsid w:val="00E12FBA"/>
    <w:rsid w:val="00E16820"/>
    <w:rsid w:val="00E2517A"/>
    <w:rsid w:val="00E27153"/>
    <w:rsid w:val="00E303D0"/>
    <w:rsid w:val="00E311B6"/>
    <w:rsid w:val="00E31DF3"/>
    <w:rsid w:val="00E33439"/>
    <w:rsid w:val="00E335AA"/>
    <w:rsid w:val="00E33D3A"/>
    <w:rsid w:val="00E42536"/>
    <w:rsid w:val="00E4681D"/>
    <w:rsid w:val="00E50489"/>
    <w:rsid w:val="00E527E4"/>
    <w:rsid w:val="00E53B35"/>
    <w:rsid w:val="00E562C0"/>
    <w:rsid w:val="00E611C8"/>
    <w:rsid w:val="00E62AE1"/>
    <w:rsid w:val="00E641AF"/>
    <w:rsid w:val="00E70015"/>
    <w:rsid w:val="00E74423"/>
    <w:rsid w:val="00E745E0"/>
    <w:rsid w:val="00E830EF"/>
    <w:rsid w:val="00E84C9A"/>
    <w:rsid w:val="00E86054"/>
    <w:rsid w:val="00E86731"/>
    <w:rsid w:val="00E874AE"/>
    <w:rsid w:val="00E90495"/>
    <w:rsid w:val="00E93A1A"/>
    <w:rsid w:val="00E966D3"/>
    <w:rsid w:val="00E96EE9"/>
    <w:rsid w:val="00EB3D50"/>
    <w:rsid w:val="00EC24C2"/>
    <w:rsid w:val="00EC3CF0"/>
    <w:rsid w:val="00ED3744"/>
    <w:rsid w:val="00ED38E1"/>
    <w:rsid w:val="00ED5C80"/>
    <w:rsid w:val="00ED6322"/>
    <w:rsid w:val="00EE0401"/>
    <w:rsid w:val="00EE0E22"/>
    <w:rsid w:val="00EE2D30"/>
    <w:rsid w:val="00EE64D7"/>
    <w:rsid w:val="00EF054E"/>
    <w:rsid w:val="00EF23B8"/>
    <w:rsid w:val="00EF37AE"/>
    <w:rsid w:val="00EF51CE"/>
    <w:rsid w:val="00EF686B"/>
    <w:rsid w:val="00F00E1C"/>
    <w:rsid w:val="00F03E29"/>
    <w:rsid w:val="00F05AF5"/>
    <w:rsid w:val="00F072C5"/>
    <w:rsid w:val="00F1121A"/>
    <w:rsid w:val="00F12897"/>
    <w:rsid w:val="00F129EA"/>
    <w:rsid w:val="00F134D3"/>
    <w:rsid w:val="00F1765E"/>
    <w:rsid w:val="00F22C08"/>
    <w:rsid w:val="00F266A1"/>
    <w:rsid w:val="00F318C1"/>
    <w:rsid w:val="00F31A3A"/>
    <w:rsid w:val="00F31EAB"/>
    <w:rsid w:val="00F34C44"/>
    <w:rsid w:val="00F367F4"/>
    <w:rsid w:val="00F3697B"/>
    <w:rsid w:val="00F36C38"/>
    <w:rsid w:val="00F377AA"/>
    <w:rsid w:val="00F37CE2"/>
    <w:rsid w:val="00F400FF"/>
    <w:rsid w:val="00F409B0"/>
    <w:rsid w:val="00F4272B"/>
    <w:rsid w:val="00F42EA2"/>
    <w:rsid w:val="00F50F42"/>
    <w:rsid w:val="00F522A3"/>
    <w:rsid w:val="00F52697"/>
    <w:rsid w:val="00F55B54"/>
    <w:rsid w:val="00F602AE"/>
    <w:rsid w:val="00F60FF9"/>
    <w:rsid w:val="00F61B88"/>
    <w:rsid w:val="00F63F0A"/>
    <w:rsid w:val="00F64FE1"/>
    <w:rsid w:val="00F7115F"/>
    <w:rsid w:val="00F72621"/>
    <w:rsid w:val="00F736E8"/>
    <w:rsid w:val="00F76315"/>
    <w:rsid w:val="00F77576"/>
    <w:rsid w:val="00F81502"/>
    <w:rsid w:val="00F84092"/>
    <w:rsid w:val="00F861D8"/>
    <w:rsid w:val="00F86B07"/>
    <w:rsid w:val="00F86B3D"/>
    <w:rsid w:val="00F95A58"/>
    <w:rsid w:val="00F97F91"/>
    <w:rsid w:val="00FA0CE7"/>
    <w:rsid w:val="00FA2C9D"/>
    <w:rsid w:val="00FB2A26"/>
    <w:rsid w:val="00FB31D1"/>
    <w:rsid w:val="00FB5BA5"/>
    <w:rsid w:val="00FB61EF"/>
    <w:rsid w:val="00FC718A"/>
    <w:rsid w:val="00FD3888"/>
    <w:rsid w:val="00FD49F7"/>
    <w:rsid w:val="00FD4F4F"/>
    <w:rsid w:val="00FD7C43"/>
    <w:rsid w:val="00FE0151"/>
    <w:rsid w:val="00FE1817"/>
    <w:rsid w:val="00FE18C6"/>
    <w:rsid w:val="00FE6F88"/>
    <w:rsid w:val="00FE746F"/>
    <w:rsid w:val="00FF3000"/>
    <w:rsid w:val="00FF75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FC24BB53-893E-744A-B6C1-A6E1734A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1054"/>
    <w:pPr>
      <w:spacing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styleId="NichtaufgelsteErwhnung">
    <w:name w:val="Unresolved Mention"/>
    <w:basedOn w:val="Absatz-Standardschriftart"/>
    <w:uiPriority w:val="99"/>
    <w:semiHidden/>
    <w:unhideWhenUsed/>
    <w:rsid w:val="00ED38E1"/>
    <w:rPr>
      <w:color w:val="605E5C"/>
      <w:shd w:val="clear" w:color="auto" w:fill="E1DFDD"/>
    </w:rPr>
  </w:style>
  <w:style w:type="character" w:styleId="BesuchterLink">
    <w:name w:val="FollowedHyperlink"/>
    <w:basedOn w:val="Absatz-Standardschriftart"/>
    <w:uiPriority w:val="99"/>
    <w:semiHidden/>
    <w:unhideWhenUsed/>
    <w:rsid w:val="004D3E5A"/>
    <w:rPr>
      <w:color w:val="800080" w:themeColor="followedHyperlink"/>
      <w:u w:val="single"/>
    </w:rPr>
  </w:style>
  <w:style w:type="paragraph" w:styleId="berarbeitung">
    <w:name w:val="Revision"/>
    <w:hidden/>
    <w:uiPriority w:val="99"/>
    <w:semiHidden/>
    <w:rsid w:val="002551BB"/>
    <w:pPr>
      <w:spacing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201940119">
      <w:bodyDiv w:val="1"/>
      <w:marLeft w:val="0"/>
      <w:marRight w:val="0"/>
      <w:marTop w:val="0"/>
      <w:marBottom w:val="0"/>
      <w:divBdr>
        <w:top w:val="none" w:sz="0" w:space="0" w:color="auto"/>
        <w:left w:val="none" w:sz="0" w:space="0" w:color="auto"/>
        <w:bottom w:val="none" w:sz="0" w:space="0" w:color="auto"/>
        <w:right w:val="none" w:sz="0" w:space="0" w:color="auto"/>
      </w:divBdr>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20857">
      <w:bodyDiv w:val="1"/>
      <w:marLeft w:val="0"/>
      <w:marRight w:val="0"/>
      <w:marTop w:val="0"/>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none" w:sz="0" w:space="0" w:color="auto"/>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sChild>
                    <w:div w:id="9312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74609">
      <w:bodyDiv w:val="1"/>
      <w:marLeft w:val="0"/>
      <w:marRight w:val="0"/>
      <w:marTop w:val="0"/>
      <w:marBottom w:val="0"/>
      <w:divBdr>
        <w:top w:val="none" w:sz="0" w:space="0" w:color="auto"/>
        <w:left w:val="none" w:sz="0" w:space="0" w:color="auto"/>
        <w:bottom w:val="none" w:sz="0" w:space="0" w:color="auto"/>
        <w:right w:val="none" w:sz="0" w:space="0" w:color="auto"/>
      </w:divBdr>
      <w:divsChild>
        <w:div w:id="1679038699">
          <w:marLeft w:val="0"/>
          <w:marRight w:val="0"/>
          <w:marTop w:val="0"/>
          <w:marBottom w:val="0"/>
          <w:divBdr>
            <w:top w:val="none" w:sz="0" w:space="0" w:color="auto"/>
            <w:left w:val="none" w:sz="0" w:space="0" w:color="auto"/>
            <w:bottom w:val="none" w:sz="0" w:space="0" w:color="auto"/>
            <w:right w:val="none" w:sz="0" w:space="0" w:color="auto"/>
          </w:divBdr>
          <w:divsChild>
            <w:div w:id="961617831">
              <w:marLeft w:val="0"/>
              <w:marRight w:val="0"/>
              <w:marTop w:val="0"/>
              <w:marBottom w:val="0"/>
              <w:divBdr>
                <w:top w:val="none" w:sz="0" w:space="0" w:color="auto"/>
                <w:left w:val="none" w:sz="0" w:space="0" w:color="auto"/>
                <w:bottom w:val="none" w:sz="0" w:space="0" w:color="auto"/>
                <w:right w:val="none" w:sz="0" w:space="0" w:color="auto"/>
              </w:divBdr>
              <w:divsChild>
                <w:div w:id="398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1041">
      <w:bodyDiv w:val="1"/>
      <w:marLeft w:val="0"/>
      <w:marRight w:val="0"/>
      <w:marTop w:val="0"/>
      <w:marBottom w:val="0"/>
      <w:divBdr>
        <w:top w:val="none" w:sz="0" w:space="0" w:color="auto"/>
        <w:left w:val="none" w:sz="0" w:space="0" w:color="auto"/>
        <w:bottom w:val="none" w:sz="0" w:space="0" w:color="auto"/>
        <w:right w:val="none" w:sz="0" w:space="0" w:color="auto"/>
      </w:divBdr>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422655007">
      <w:bodyDiv w:val="1"/>
      <w:marLeft w:val="0"/>
      <w:marRight w:val="0"/>
      <w:marTop w:val="0"/>
      <w:marBottom w:val="0"/>
      <w:divBdr>
        <w:top w:val="none" w:sz="0" w:space="0" w:color="auto"/>
        <w:left w:val="none" w:sz="0" w:space="0" w:color="auto"/>
        <w:bottom w:val="none" w:sz="0" w:space="0" w:color="auto"/>
        <w:right w:val="none" w:sz="0" w:space="0" w:color="auto"/>
      </w:divBdr>
    </w:div>
    <w:div w:id="432172680">
      <w:bodyDiv w:val="1"/>
      <w:marLeft w:val="0"/>
      <w:marRight w:val="0"/>
      <w:marTop w:val="0"/>
      <w:marBottom w:val="0"/>
      <w:divBdr>
        <w:top w:val="none" w:sz="0" w:space="0" w:color="auto"/>
        <w:left w:val="none" w:sz="0" w:space="0" w:color="auto"/>
        <w:bottom w:val="none" w:sz="0" w:space="0" w:color="auto"/>
        <w:right w:val="none" w:sz="0" w:space="0" w:color="auto"/>
      </w:divBdr>
      <w:divsChild>
        <w:div w:id="1491872525">
          <w:marLeft w:val="0"/>
          <w:marRight w:val="0"/>
          <w:marTop w:val="0"/>
          <w:marBottom w:val="0"/>
          <w:divBdr>
            <w:top w:val="none" w:sz="0" w:space="0" w:color="auto"/>
            <w:left w:val="none" w:sz="0" w:space="0" w:color="auto"/>
            <w:bottom w:val="none" w:sz="0" w:space="0" w:color="auto"/>
            <w:right w:val="none" w:sz="0" w:space="0" w:color="auto"/>
          </w:divBdr>
          <w:divsChild>
            <w:div w:id="366947934">
              <w:marLeft w:val="0"/>
              <w:marRight w:val="0"/>
              <w:marTop w:val="0"/>
              <w:marBottom w:val="0"/>
              <w:divBdr>
                <w:top w:val="none" w:sz="0" w:space="0" w:color="auto"/>
                <w:left w:val="none" w:sz="0" w:space="0" w:color="auto"/>
                <w:bottom w:val="none" w:sz="0" w:space="0" w:color="auto"/>
                <w:right w:val="none" w:sz="0" w:space="0" w:color="auto"/>
              </w:divBdr>
              <w:divsChild>
                <w:div w:id="9055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4840">
      <w:bodyDiv w:val="1"/>
      <w:marLeft w:val="0"/>
      <w:marRight w:val="0"/>
      <w:marTop w:val="0"/>
      <w:marBottom w:val="0"/>
      <w:divBdr>
        <w:top w:val="none" w:sz="0" w:space="0" w:color="auto"/>
        <w:left w:val="none" w:sz="0" w:space="0" w:color="auto"/>
        <w:bottom w:val="none" w:sz="0" w:space="0" w:color="auto"/>
        <w:right w:val="none" w:sz="0" w:space="0" w:color="auto"/>
      </w:divBdr>
    </w:div>
    <w:div w:id="529807093">
      <w:bodyDiv w:val="1"/>
      <w:marLeft w:val="0"/>
      <w:marRight w:val="0"/>
      <w:marTop w:val="0"/>
      <w:marBottom w:val="0"/>
      <w:divBdr>
        <w:top w:val="none" w:sz="0" w:space="0" w:color="auto"/>
        <w:left w:val="none" w:sz="0" w:space="0" w:color="auto"/>
        <w:bottom w:val="none" w:sz="0" w:space="0" w:color="auto"/>
        <w:right w:val="none" w:sz="0" w:space="0" w:color="auto"/>
      </w:divBdr>
    </w:div>
    <w:div w:id="535655118">
      <w:bodyDiv w:val="1"/>
      <w:marLeft w:val="0"/>
      <w:marRight w:val="0"/>
      <w:marTop w:val="0"/>
      <w:marBottom w:val="0"/>
      <w:divBdr>
        <w:top w:val="none" w:sz="0" w:space="0" w:color="auto"/>
        <w:left w:val="none" w:sz="0" w:space="0" w:color="auto"/>
        <w:bottom w:val="none" w:sz="0" w:space="0" w:color="auto"/>
        <w:right w:val="none" w:sz="0" w:space="0" w:color="auto"/>
      </w:divBdr>
      <w:divsChild>
        <w:div w:id="1446389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616537">
              <w:marLeft w:val="0"/>
              <w:marRight w:val="0"/>
              <w:marTop w:val="0"/>
              <w:marBottom w:val="0"/>
              <w:divBdr>
                <w:top w:val="none" w:sz="0" w:space="0" w:color="auto"/>
                <w:left w:val="none" w:sz="0" w:space="0" w:color="auto"/>
                <w:bottom w:val="none" w:sz="0" w:space="0" w:color="auto"/>
                <w:right w:val="none" w:sz="0" w:space="0" w:color="auto"/>
              </w:divBdr>
              <w:divsChild>
                <w:div w:id="1774398340">
                  <w:marLeft w:val="0"/>
                  <w:marRight w:val="0"/>
                  <w:marTop w:val="0"/>
                  <w:marBottom w:val="0"/>
                  <w:divBdr>
                    <w:top w:val="none" w:sz="0" w:space="0" w:color="auto"/>
                    <w:left w:val="none" w:sz="0" w:space="0" w:color="auto"/>
                    <w:bottom w:val="none" w:sz="0" w:space="0" w:color="auto"/>
                    <w:right w:val="none" w:sz="0" w:space="0" w:color="auto"/>
                  </w:divBdr>
                </w:div>
                <w:div w:id="1794707216">
                  <w:marLeft w:val="0"/>
                  <w:marRight w:val="0"/>
                  <w:marTop w:val="0"/>
                  <w:marBottom w:val="0"/>
                  <w:divBdr>
                    <w:top w:val="none" w:sz="0" w:space="0" w:color="auto"/>
                    <w:left w:val="none" w:sz="0" w:space="0" w:color="auto"/>
                    <w:bottom w:val="none" w:sz="0" w:space="0" w:color="auto"/>
                    <w:right w:val="none" w:sz="0" w:space="0" w:color="auto"/>
                  </w:divBdr>
                </w:div>
                <w:div w:id="18289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9400">
      <w:bodyDiv w:val="1"/>
      <w:marLeft w:val="0"/>
      <w:marRight w:val="0"/>
      <w:marTop w:val="0"/>
      <w:marBottom w:val="0"/>
      <w:divBdr>
        <w:top w:val="none" w:sz="0" w:space="0" w:color="auto"/>
        <w:left w:val="none" w:sz="0" w:space="0" w:color="auto"/>
        <w:bottom w:val="none" w:sz="0" w:space="0" w:color="auto"/>
        <w:right w:val="none" w:sz="0" w:space="0" w:color="auto"/>
      </w:divBdr>
    </w:div>
    <w:div w:id="575827200">
      <w:bodyDiv w:val="1"/>
      <w:marLeft w:val="0"/>
      <w:marRight w:val="0"/>
      <w:marTop w:val="0"/>
      <w:marBottom w:val="0"/>
      <w:divBdr>
        <w:top w:val="none" w:sz="0" w:space="0" w:color="auto"/>
        <w:left w:val="none" w:sz="0" w:space="0" w:color="auto"/>
        <w:bottom w:val="none" w:sz="0" w:space="0" w:color="auto"/>
        <w:right w:val="none" w:sz="0" w:space="0" w:color="auto"/>
      </w:divBdr>
    </w:div>
    <w:div w:id="682971497">
      <w:bodyDiv w:val="1"/>
      <w:marLeft w:val="0"/>
      <w:marRight w:val="0"/>
      <w:marTop w:val="0"/>
      <w:marBottom w:val="0"/>
      <w:divBdr>
        <w:top w:val="none" w:sz="0" w:space="0" w:color="auto"/>
        <w:left w:val="none" w:sz="0" w:space="0" w:color="auto"/>
        <w:bottom w:val="none" w:sz="0" w:space="0" w:color="auto"/>
        <w:right w:val="none" w:sz="0" w:space="0" w:color="auto"/>
      </w:divBdr>
      <w:divsChild>
        <w:div w:id="256838921">
          <w:marLeft w:val="0"/>
          <w:marRight w:val="0"/>
          <w:marTop w:val="0"/>
          <w:marBottom w:val="0"/>
          <w:divBdr>
            <w:top w:val="none" w:sz="0" w:space="0" w:color="auto"/>
            <w:left w:val="none" w:sz="0" w:space="0" w:color="auto"/>
            <w:bottom w:val="none" w:sz="0" w:space="0" w:color="auto"/>
            <w:right w:val="none" w:sz="0" w:space="0" w:color="auto"/>
          </w:divBdr>
          <w:divsChild>
            <w:div w:id="1600331141">
              <w:marLeft w:val="0"/>
              <w:marRight w:val="0"/>
              <w:marTop w:val="0"/>
              <w:marBottom w:val="0"/>
              <w:divBdr>
                <w:top w:val="none" w:sz="0" w:space="0" w:color="auto"/>
                <w:left w:val="none" w:sz="0" w:space="0" w:color="auto"/>
                <w:bottom w:val="none" w:sz="0" w:space="0" w:color="auto"/>
                <w:right w:val="none" w:sz="0" w:space="0" w:color="auto"/>
              </w:divBdr>
              <w:divsChild>
                <w:div w:id="20528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19510">
      <w:bodyDiv w:val="1"/>
      <w:marLeft w:val="0"/>
      <w:marRight w:val="0"/>
      <w:marTop w:val="0"/>
      <w:marBottom w:val="0"/>
      <w:divBdr>
        <w:top w:val="none" w:sz="0" w:space="0" w:color="auto"/>
        <w:left w:val="none" w:sz="0" w:space="0" w:color="auto"/>
        <w:bottom w:val="none" w:sz="0" w:space="0" w:color="auto"/>
        <w:right w:val="none" w:sz="0" w:space="0" w:color="auto"/>
      </w:divBdr>
      <w:divsChild>
        <w:div w:id="909509773">
          <w:marLeft w:val="0"/>
          <w:marRight w:val="0"/>
          <w:marTop w:val="0"/>
          <w:marBottom w:val="0"/>
          <w:divBdr>
            <w:top w:val="none" w:sz="0" w:space="0" w:color="auto"/>
            <w:left w:val="none" w:sz="0" w:space="0" w:color="auto"/>
            <w:bottom w:val="none" w:sz="0" w:space="0" w:color="auto"/>
            <w:right w:val="none" w:sz="0" w:space="0" w:color="auto"/>
          </w:divBdr>
          <w:divsChild>
            <w:div w:id="1086655307">
              <w:marLeft w:val="0"/>
              <w:marRight w:val="0"/>
              <w:marTop w:val="0"/>
              <w:marBottom w:val="0"/>
              <w:divBdr>
                <w:top w:val="none" w:sz="0" w:space="0" w:color="auto"/>
                <w:left w:val="none" w:sz="0" w:space="0" w:color="auto"/>
                <w:bottom w:val="none" w:sz="0" w:space="0" w:color="auto"/>
                <w:right w:val="none" w:sz="0" w:space="0" w:color="auto"/>
              </w:divBdr>
              <w:divsChild>
                <w:div w:id="476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57344">
      <w:bodyDiv w:val="1"/>
      <w:marLeft w:val="0"/>
      <w:marRight w:val="0"/>
      <w:marTop w:val="0"/>
      <w:marBottom w:val="0"/>
      <w:divBdr>
        <w:top w:val="none" w:sz="0" w:space="0" w:color="auto"/>
        <w:left w:val="none" w:sz="0" w:space="0" w:color="auto"/>
        <w:bottom w:val="none" w:sz="0" w:space="0" w:color="auto"/>
        <w:right w:val="none" w:sz="0" w:space="0" w:color="auto"/>
      </w:divBdr>
    </w:div>
    <w:div w:id="747775177">
      <w:bodyDiv w:val="1"/>
      <w:marLeft w:val="0"/>
      <w:marRight w:val="0"/>
      <w:marTop w:val="0"/>
      <w:marBottom w:val="0"/>
      <w:divBdr>
        <w:top w:val="none" w:sz="0" w:space="0" w:color="auto"/>
        <w:left w:val="none" w:sz="0" w:space="0" w:color="auto"/>
        <w:bottom w:val="none" w:sz="0" w:space="0" w:color="auto"/>
        <w:right w:val="none" w:sz="0" w:space="0" w:color="auto"/>
      </w:divBdr>
    </w:div>
    <w:div w:id="809057456">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914165374">
      <w:bodyDiv w:val="1"/>
      <w:marLeft w:val="0"/>
      <w:marRight w:val="0"/>
      <w:marTop w:val="0"/>
      <w:marBottom w:val="0"/>
      <w:divBdr>
        <w:top w:val="none" w:sz="0" w:space="0" w:color="auto"/>
        <w:left w:val="none" w:sz="0" w:space="0" w:color="auto"/>
        <w:bottom w:val="none" w:sz="0" w:space="0" w:color="auto"/>
        <w:right w:val="none" w:sz="0" w:space="0" w:color="auto"/>
      </w:divBdr>
      <w:divsChild>
        <w:div w:id="1935504767">
          <w:marLeft w:val="0"/>
          <w:marRight w:val="0"/>
          <w:marTop w:val="0"/>
          <w:marBottom w:val="0"/>
          <w:divBdr>
            <w:top w:val="none" w:sz="0" w:space="0" w:color="auto"/>
            <w:left w:val="none" w:sz="0" w:space="0" w:color="auto"/>
            <w:bottom w:val="none" w:sz="0" w:space="0" w:color="auto"/>
            <w:right w:val="none" w:sz="0" w:space="0" w:color="auto"/>
          </w:divBdr>
          <w:divsChild>
            <w:div w:id="925071952">
              <w:marLeft w:val="0"/>
              <w:marRight w:val="0"/>
              <w:marTop w:val="0"/>
              <w:marBottom w:val="0"/>
              <w:divBdr>
                <w:top w:val="none" w:sz="0" w:space="0" w:color="auto"/>
                <w:left w:val="none" w:sz="0" w:space="0" w:color="auto"/>
                <w:bottom w:val="none" w:sz="0" w:space="0" w:color="auto"/>
                <w:right w:val="none" w:sz="0" w:space="0" w:color="auto"/>
              </w:divBdr>
              <w:divsChild>
                <w:div w:id="1667050137">
                  <w:marLeft w:val="0"/>
                  <w:marRight w:val="0"/>
                  <w:marTop w:val="0"/>
                  <w:marBottom w:val="0"/>
                  <w:divBdr>
                    <w:top w:val="none" w:sz="0" w:space="0" w:color="auto"/>
                    <w:left w:val="none" w:sz="0" w:space="0" w:color="auto"/>
                    <w:bottom w:val="none" w:sz="0" w:space="0" w:color="auto"/>
                    <w:right w:val="none" w:sz="0" w:space="0" w:color="auto"/>
                  </w:divBdr>
                  <w:divsChild>
                    <w:div w:id="12837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81258">
      <w:bodyDiv w:val="1"/>
      <w:marLeft w:val="0"/>
      <w:marRight w:val="0"/>
      <w:marTop w:val="0"/>
      <w:marBottom w:val="0"/>
      <w:divBdr>
        <w:top w:val="none" w:sz="0" w:space="0" w:color="auto"/>
        <w:left w:val="none" w:sz="0" w:space="0" w:color="auto"/>
        <w:bottom w:val="none" w:sz="0" w:space="0" w:color="auto"/>
        <w:right w:val="none" w:sz="0" w:space="0" w:color="auto"/>
      </w:divBdr>
    </w:div>
    <w:div w:id="1119570255">
      <w:bodyDiv w:val="1"/>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865">
      <w:bodyDiv w:val="1"/>
      <w:marLeft w:val="0"/>
      <w:marRight w:val="0"/>
      <w:marTop w:val="0"/>
      <w:marBottom w:val="0"/>
      <w:divBdr>
        <w:top w:val="none" w:sz="0" w:space="0" w:color="auto"/>
        <w:left w:val="none" w:sz="0" w:space="0" w:color="auto"/>
        <w:bottom w:val="none" w:sz="0" w:space="0" w:color="auto"/>
        <w:right w:val="none" w:sz="0" w:space="0" w:color="auto"/>
      </w:divBdr>
    </w:div>
    <w:div w:id="1237323622">
      <w:bodyDiv w:val="1"/>
      <w:marLeft w:val="0"/>
      <w:marRight w:val="0"/>
      <w:marTop w:val="0"/>
      <w:marBottom w:val="0"/>
      <w:divBdr>
        <w:top w:val="none" w:sz="0" w:space="0" w:color="auto"/>
        <w:left w:val="none" w:sz="0" w:space="0" w:color="auto"/>
        <w:bottom w:val="none" w:sz="0" w:space="0" w:color="auto"/>
        <w:right w:val="none" w:sz="0" w:space="0" w:color="auto"/>
      </w:divBdr>
    </w:div>
    <w:div w:id="1265840457">
      <w:bodyDiv w:val="1"/>
      <w:marLeft w:val="0"/>
      <w:marRight w:val="0"/>
      <w:marTop w:val="0"/>
      <w:marBottom w:val="0"/>
      <w:divBdr>
        <w:top w:val="none" w:sz="0" w:space="0" w:color="auto"/>
        <w:left w:val="none" w:sz="0" w:space="0" w:color="auto"/>
        <w:bottom w:val="none" w:sz="0" w:space="0" w:color="auto"/>
        <w:right w:val="none" w:sz="0" w:space="0" w:color="auto"/>
      </w:divBdr>
    </w:div>
    <w:div w:id="1269116920">
      <w:bodyDiv w:val="1"/>
      <w:marLeft w:val="0"/>
      <w:marRight w:val="0"/>
      <w:marTop w:val="0"/>
      <w:marBottom w:val="0"/>
      <w:divBdr>
        <w:top w:val="none" w:sz="0" w:space="0" w:color="auto"/>
        <w:left w:val="none" w:sz="0" w:space="0" w:color="auto"/>
        <w:bottom w:val="none" w:sz="0" w:space="0" w:color="auto"/>
        <w:right w:val="none" w:sz="0" w:space="0" w:color="auto"/>
      </w:divBdr>
      <w:divsChild>
        <w:div w:id="370690609">
          <w:marLeft w:val="0"/>
          <w:marRight w:val="0"/>
          <w:marTop w:val="0"/>
          <w:marBottom w:val="0"/>
          <w:divBdr>
            <w:top w:val="none" w:sz="0" w:space="0" w:color="auto"/>
            <w:left w:val="none" w:sz="0" w:space="0" w:color="auto"/>
            <w:bottom w:val="none" w:sz="0" w:space="0" w:color="auto"/>
            <w:right w:val="none" w:sz="0" w:space="0" w:color="auto"/>
          </w:divBdr>
          <w:divsChild>
            <w:div w:id="156384761">
              <w:marLeft w:val="0"/>
              <w:marRight w:val="0"/>
              <w:marTop w:val="0"/>
              <w:marBottom w:val="0"/>
              <w:divBdr>
                <w:top w:val="none" w:sz="0" w:space="0" w:color="auto"/>
                <w:left w:val="none" w:sz="0" w:space="0" w:color="auto"/>
                <w:bottom w:val="none" w:sz="0" w:space="0" w:color="auto"/>
                <w:right w:val="none" w:sz="0" w:space="0" w:color="auto"/>
              </w:divBdr>
              <w:divsChild>
                <w:div w:id="5484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494030527">
      <w:bodyDiv w:val="1"/>
      <w:marLeft w:val="0"/>
      <w:marRight w:val="0"/>
      <w:marTop w:val="0"/>
      <w:marBottom w:val="0"/>
      <w:divBdr>
        <w:top w:val="none" w:sz="0" w:space="0" w:color="auto"/>
        <w:left w:val="none" w:sz="0" w:space="0" w:color="auto"/>
        <w:bottom w:val="none" w:sz="0" w:space="0" w:color="auto"/>
        <w:right w:val="none" w:sz="0" w:space="0" w:color="auto"/>
      </w:divBdr>
    </w:div>
    <w:div w:id="1592884401">
      <w:bodyDiv w:val="1"/>
      <w:marLeft w:val="0"/>
      <w:marRight w:val="0"/>
      <w:marTop w:val="0"/>
      <w:marBottom w:val="0"/>
      <w:divBdr>
        <w:top w:val="none" w:sz="0" w:space="0" w:color="auto"/>
        <w:left w:val="none" w:sz="0" w:space="0" w:color="auto"/>
        <w:bottom w:val="none" w:sz="0" w:space="0" w:color="auto"/>
        <w:right w:val="none" w:sz="0" w:space="0" w:color="auto"/>
      </w:divBdr>
      <w:divsChild>
        <w:div w:id="221064448">
          <w:marLeft w:val="0"/>
          <w:marRight w:val="0"/>
          <w:marTop w:val="0"/>
          <w:marBottom w:val="0"/>
          <w:divBdr>
            <w:top w:val="none" w:sz="0" w:space="0" w:color="auto"/>
            <w:left w:val="none" w:sz="0" w:space="0" w:color="auto"/>
            <w:bottom w:val="none" w:sz="0" w:space="0" w:color="auto"/>
            <w:right w:val="none" w:sz="0" w:space="0" w:color="auto"/>
          </w:divBdr>
          <w:divsChild>
            <w:div w:id="97413898">
              <w:marLeft w:val="0"/>
              <w:marRight w:val="0"/>
              <w:marTop w:val="0"/>
              <w:marBottom w:val="0"/>
              <w:divBdr>
                <w:top w:val="none" w:sz="0" w:space="0" w:color="auto"/>
                <w:left w:val="none" w:sz="0" w:space="0" w:color="auto"/>
                <w:bottom w:val="none" w:sz="0" w:space="0" w:color="auto"/>
                <w:right w:val="none" w:sz="0" w:space="0" w:color="auto"/>
              </w:divBdr>
              <w:divsChild>
                <w:div w:id="2031567410">
                  <w:marLeft w:val="0"/>
                  <w:marRight w:val="0"/>
                  <w:marTop w:val="0"/>
                  <w:marBottom w:val="0"/>
                  <w:divBdr>
                    <w:top w:val="none" w:sz="0" w:space="0" w:color="auto"/>
                    <w:left w:val="none" w:sz="0" w:space="0" w:color="auto"/>
                    <w:bottom w:val="none" w:sz="0" w:space="0" w:color="auto"/>
                    <w:right w:val="none" w:sz="0" w:space="0" w:color="auto"/>
                  </w:divBdr>
                  <w:divsChild>
                    <w:div w:id="18869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9656">
      <w:bodyDiv w:val="1"/>
      <w:marLeft w:val="0"/>
      <w:marRight w:val="0"/>
      <w:marTop w:val="0"/>
      <w:marBottom w:val="0"/>
      <w:divBdr>
        <w:top w:val="none" w:sz="0" w:space="0" w:color="auto"/>
        <w:left w:val="none" w:sz="0" w:space="0" w:color="auto"/>
        <w:bottom w:val="none" w:sz="0" w:space="0" w:color="auto"/>
        <w:right w:val="none" w:sz="0" w:space="0" w:color="auto"/>
      </w:divBdr>
      <w:divsChild>
        <w:div w:id="6105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8026">
              <w:marLeft w:val="0"/>
              <w:marRight w:val="0"/>
              <w:marTop w:val="0"/>
              <w:marBottom w:val="0"/>
              <w:divBdr>
                <w:top w:val="none" w:sz="0" w:space="0" w:color="auto"/>
                <w:left w:val="none" w:sz="0" w:space="0" w:color="auto"/>
                <w:bottom w:val="none" w:sz="0" w:space="0" w:color="auto"/>
                <w:right w:val="none" w:sz="0" w:space="0" w:color="auto"/>
              </w:divBdr>
              <w:divsChild>
                <w:div w:id="5708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42626">
      <w:bodyDiv w:val="1"/>
      <w:marLeft w:val="0"/>
      <w:marRight w:val="0"/>
      <w:marTop w:val="0"/>
      <w:marBottom w:val="0"/>
      <w:divBdr>
        <w:top w:val="none" w:sz="0" w:space="0" w:color="auto"/>
        <w:left w:val="none" w:sz="0" w:space="0" w:color="auto"/>
        <w:bottom w:val="none" w:sz="0" w:space="0" w:color="auto"/>
        <w:right w:val="none" w:sz="0" w:space="0" w:color="auto"/>
      </w:divBdr>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1720325973">
      <w:bodyDiv w:val="1"/>
      <w:marLeft w:val="0"/>
      <w:marRight w:val="0"/>
      <w:marTop w:val="0"/>
      <w:marBottom w:val="0"/>
      <w:divBdr>
        <w:top w:val="none" w:sz="0" w:space="0" w:color="auto"/>
        <w:left w:val="none" w:sz="0" w:space="0" w:color="auto"/>
        <w:bottom w:val="none" w:sz="0" w:space="0" w:color="auto"/>
        <w:right w:val="none" w:sz="0" w:space="0" w:color="auto"/>
      </w:divBdr>
    </w:div>
    <w:div w:id="1780367064">
      <w:bodyDiv w:val="1"/>
      <w:marLeft w:val="0"/>
      <w:marRight w:val="0"/>
      <w:marTop w:val="0"/>
      <w:marBottom w:val="0"/>
      <w:divBdr>
        <w:top w:val="none" w:sz="0" w:space="0" w:color="auto"/>
        <w:left w:val="none" w:sz="0" w:space="0" w:color="auto"/>
        <w:bottom w:val="none" w:sz="0" w:space="0" w:color="auto"/>
        <w:right w:val="none" w:sz="0" w:space="0" w:color="auto"/>
      </w:divBdr>
    </w:div>
    <w:div w:id="1781102184">
      <w:bodyDiv w:val="1"/>
      <w:marLeft w:val="0"/>
      <w:marRight w:val="0"/>
      <w:marTop w:val="0"/>
      <w:marBottom w:val="0"/>
      <w:divBdr>
        <w:top w:val="none" w:sz="0" w:space="0" w:color="auto"/>
        <w:left w:val="none" w:sz="0" w:space="0" w:color="auto"/>
        <w:bottom w:val="none" w:sz="0" w:space="0" w:color="auto"/>
        <w:right w:val="none" w:sz="0" w:space="0" w:color="auto"/>
      </w:divBdr>
    </w:div>
    <w:div w:id="1801532544">
      <w:bodyDiv w:val="1"/>
      <w:marLeft w:val="0"/>
      <w:marRight w:val="0"/>
      <w:marTop w:val="0"/>
      <w:marBottom w:val="0"/>
      <w:divBdr>
        <w:top w:val="none" w:sz="0" w:space="0" w:color="auto"/>
        <w:left w:val="none" w:sz="0" w:space="0" w:color="auto"/>
        <w:bottom w:val="none" w:sz="0" w:space="0" w:color="auto"/>
        <w:right w:val="none" w:sz="0" w:space="0" w:color="auto"/>
      </w:divBdr>
    </w:div>
    <w:div w:id="1830317437">
      <w:bodyDiv w:val="1"/>
      <w:marLeft w:val="0"/>
      <w:marRight w:val="0"/>
      <w:marTop w:val="0"/>
      <w:marBottom w:val="0"/>
      <w:divBdr>
        <w:top w:val="none" w:sz="0" w:space="0" w:color="auto"/>
        <w:left w:val="none" w:sz="0" w:space="0" w:color="auto"/>
        <w:bottom w:val="none" w:sz="0" w:space="0" w:color="auto"/>
        <w:right w:val="none" w:sz="0" w:space="0" w:color="auto"/>
      </w:divBdr>
    </w:div>
    <w:div w:id="1981642319">
      <w:bodyDiv w:val="1"/>
      <w:marLeft w:val="0"/>
      <w:marRight w:val="0"/>
      <w:marTop w:val="0"/>
      <w:marBottom w:val="0"/>
      <w:divBdr>
        <w:top w:val="none" w:sz="0" w:space="0" w:color="auto"/>
        <w:left w:val="none" w:sz="0" w:space="0" w:color="auto"/>
        <w:bottom w:val="none" w:sz="0" w:space="0" w:color="auto"/>
        <w:right w:val="none" w:sz="0" w:space="0" w:color="auto"/>
      </w:divBdr>
    </w:div>
    <w:div w:id="2011372270">
      <w:bodyDiv w:val="1"/>
      <w:marLeft w:val="0"/>
      <w:marRight w:val="0"/>
      <w:marTop w:val="0"/>
      <w:marBottom w:val="0"/>
      <w:divBdr>
        <w:top w:val="none" w:sz="0" w:space="0" w:color="auto"/>
        <w:left w:val="none" w:sz="0" w:space="0" w:color="auto"/>
        <w:bottom w:val="none" w:sz="0" w:space="0" w:color="auto"/>
        <w:right w:val="none" w:sz="0" w:space="0" w:color="auto"/>
      </w:divBdr>
      <w:divsChild>
        <w:div w:id="1469933081">
          <w:marLeft w:val="0"/>
          <w:marRight w:val="0"/>
          <w:marTop w:val="0"/>
          <w:marBottom w:val="0"/>
          <w:divBdr>
            <w:top w:val="none" w:sz="0" w:space="0" w:color="auto"/>
            <w:left w:val="none" w:sz="0" w:space="0" w:color="auto"/>
            <w:bottom w:val="none" w:sz="0" w:space="0" w:color="auto"/>
            <w:right w:val="none" w:sz="0" w:space="0" w:color="auto"/>
          </w:divBdr>
          <w:divsChild>
            <w:div w:id="478618372">
              <w:marLeft w:val="0"/>
              <w:marRight w:val="0"/>
              <w:marTop w:val="0"/>
              <w:marBottom w:val="0"/>
              <w:divBdr>
                <w:top w:val="none" w:sz="0" w:space="0" w:color="auto"/>
                <w:left w:val="none" w:sz="0" w:space="0" w:color="auto"/>
                <w:bottom w:val="none" w:sz="0" w:space="0" w:color="auto"/>
                <w:right w:val="none" w:sz="0" w:space="0" w:color="auto"/>
              </w:divBdr>
              <w:divsChild>
                <w:div w:id="716441471">
                  <w:marLeft w:val="0"/>
                  <w:marRight w:val="0"/>
                  <w:marTop w:val="0"/>
                  <w:marBottom w:val="0"/>
                  <w:divBdr>
                    <w:top w:val="none" w:sz="0" w:space="0" w:color="auto"/>
                    <w:left w:val="none" w:sz="0" w:space="0" w:color="auto"/>
                    <w:bottom w:val="none" w:sz="0" w:space="0" w:color="auto"/>
                    <w:right w:val="none" w:sz="0" w:space="0" w:color="auto"/>
                  </w:divBdr>
                  <w:divsChild>
                    <w:div w:id="12560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inter@profil-marke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rina.dittmann@glamox.com" TargetMode="External"/><Relationship Id="rId5" Type="http://schemas.openxmlformats.org/officeDocument/2006/relationships/webSettings" Target="webSettings.xml"/><Relationship Id="rId10" Type="http://schemas.openxmlformats.org/officeDocument/2006/relationships/hyperlink" Target="http://www.glamox.de" TargetMode="External"/><Relationship Id="rId4" Type="http://schemas.openxmlformats.org/officeDocument/2006/relationships/settings" Target="settings.xml"/><Relationship Id="rId9" Type="http://schemas.openxmlformats.org/officeDocument/2006/relationships/hyperlink" Target="https://www.glamox.com/de/pbs/suchfunktion/?query=c80%20g2&amp;page=1&amp;activeTab=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1744-3023-4956-9A6B-82EAD28A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4628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Glamox</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2</cp:revision>
  <cp:lastPrinted>2023-01-25T10:02:00Z</cp:lastPrinted>
  <dcterms:created xsi:type="dcterms:W3CDTF">2023-04-18T14:24:00Z</dcterms:created>
  <dcterms:modified xsi:type="dcterms:W3CDTF">2023-04-18T14:24:00Z</dcterms:modified>
</cp:coreProperties>
</file>