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130D92D2"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5643F3E7" w14:textId="036D8509" w:rsidR="008E2CC9" w:rsidRDefault="004366D3" w:rsidP="008E2CC9">
      <w:pPr>
        <w:spacing w:after="0"/>
        <w:rPr>
          <w:rFonts w:ascii="Arial Nova" w:hAnsi="Arial Nova" w:cs="Times New Roman"/>
          <w:b/>
          <w:bCs/>
          <w:color w:val="auto"/>
          <w:sz w:val="28"/>
          <w:szCs w:val="20"/>
        </w:rPr>
      </w:pPr>
      <w:r>
        <w:rPr>
          <w:rFonts w:ascii="Arial Nova" w:hAnsi="Arial Nova" w:cs="Times New Roman"/>
          <w:b/>
          <w:bCs/>
          <w:color w:val="auto"/>
          <w:sz w:val="28"/>
          <w:szCs w:val="20"/>
        </w:rPr>
        <w:t xml:space="preserve">SECO </w:t>
      </w:r>
      <w:r w:rsidR="00D5527F">
        <w:rPr>
          <w:rFonts w:ascii="Arial Nova" w:hAnsi="Arial Nova" w:cs="Times New Roman"/>
          <w:b/>
          <w:bCs/>
          <w:color w:val="auto"/>
          <w:sz w:val="28"/>
          <w:szCs w:val="20"/>
        </w:rPr>
        <w:t>veröffentlicht</w:t>
      </w:r>
      <w:r>
        <w:rPr>
          <w:rFonts w:ascii="Arial Nova" w:hAnsi="Arial Nova" w:cs="Times New Roman"/>
          <w:b/>
          <w:bCs/>
          <w:color w:val="auto"/>
          <w:sz w:val="28"/>
          <w:szCs w:val="20"/>
        </w:rPr>
        <w:t xml:space="preserve"> </w:t>
      </w:r>
      <w:r w:rsidR="00720A20">
        <w:rPr>
          <w:rFonts w:ascii="Arial Nova" w:hAnsi="Arial Nova" w:cs="Times New Roman"/>
          <w:b/>
          <w:bCs/>
          <w:color w:val="auto"/>
          <w:sz w:val="28"/>
          <w:szCs w:val="20"/>
        </w:rPr>
        <w:t>zwei Off-The-</w:t>
      </w:r>
      <w:proofErr w:type="spellStart"/>
      <w:r w:rsidR="00720A20">
        <w:rPr>
          <w:rFonts w:ascii="Arial Nova" w:hAnsi="Arial Nova" w:cs="Times New Roman"/>
          <w:b/>
          <w:bCs/>
          <w:color w:val="auto"/>
          <w:sz w:val="28"/>
          <w:szCs w:val="20"/>
        </w:rPr>
        <w:t>Shelf</w:t>
      </w:r>
      <w:proofErr w:type="spellEnd"/>
      <w:r w:rsidR="00720A20">
        <w:rPr>
          <w:rFonts w:ascii="Arial Nova" w:hAnsi="Arial Nova" w:cs="Times New Roman"/>
          <w:b/>
          <w:bCs/>
          <w:color w:val="auto"/>
          <w:sz w:val="28"/>
          <w:szCs w:val="20"/>
        </w:rPr>
        <w:t xml:space="preserve"> Computing Lösungen mit Intel</w:t>
      </w:r>
      <w:r w:rsidR="00720A20" w:rsidRPr="00720A20">
        <w:rPr>
          <w:rFonts w:ascii="Arial Nova" w:hAnsi="Arial Nova" w:cs="Times New Roman"/>
          <w:b/>
          <w:bCs/>
          <w:color w:val="auto"/>
          <w:sz w:val="28"/>
          <w:szCs w:val="20"/>
        </w:rPr>
        <w:t xml:space="preserve">® Core™ </w:t>
      </w:r>
      <w:r w:rsidR="00720A20">
        <w:rPr>
          <w:rFonts w:ascii="Arial Nova" w:hAnsi="Arial Nova" w:cs="Times New Roman"/>
          <w:b/>
          <w:bCs/>
          <w:color w:val="auto"/>
          <w:sz w:val="28"/>
          <w:szCs w:val="20"/>
        </w:rPr>
        <w:t>Prozessoren der 11 Generation</w:t>
      </w:r>
      <w:r>
        <w:rPr>
          <w:rFonts w:ascii="Arial Nova" w:hAnsi="Arial Nova" w:cs="Times New Roman"/>
          <w:b/>
          <w:bCs/>
          <w:color w:val="auto"/>
          <w:sz w:val="28"/>
          <w:szCs w:val="20"/>
        </w:rPr>
        <w:t xml:space="preserve"> </w:t>
      </w:r>
    </w:p>
    <w:p w14:paraId="46A0762D" w14:textId="77777777" w:rsidR="003F2A53" w:rsidRPr="00020B14" w:rsidRDefault="003F2A53" w:rsidP="008E2CC9">
      <w:pPr>
        <w:spacing w:after="0"/>
        <w:rPr>
          <w:rFonts w:asciiTheme="majorHAnsi" w:hAnsiTheme="majorHAnsi" w:cs="Times New Roman"/>
          <w:b/>
          <w:bCs/>
          <w:color w:val="auto"/>
          <w:sz w:val="28"/>
          <w:szCs w:val="20"/>
        </w:rPr>
      </w:pPr>
    </w:p>
    <w:p w14:paraId="00BF0177" w14:textId="5AEED0D9" w:rsidR="001A26AA" w:rsidRDefault="008E2CC9" w:rsidP="001022FE">
      <w:pPr>
        <w:jc w:val="both"/>
        <w:rPr>
          <w:rStyle w:val="normaltextrun"/>
          <w:rFonts w:ascii="Arial Nova" w:hAnsi="Arial Nova"/>
        </w:rPr>
      </w:pPr>
      <w:r w:rsidRPr="0054492A">
        <w:rPr>
          <w:rFonts w:ascii="Arial Nova" w:hAnsi="Arial Nova"/>
          <w:b/>
          <w:color w:val="auto"/>
        </w:rPr>
        <w:t xml:space="preserve">Hamburg, </w:t>
      </w:r>
      <w:r w:rsidR="000A25E4">
        <w:rPr>
          <w:rFonts w:ascii="Arial Nova" w:hAnsi="Arial Nova"/>
          <w:b/>
          <w:color w:val="auto"/>
        </w:rPr>
        <w:t>7</w:t>
      </w:r>
      <w:r w:rsidRPr="0054492A">
        <w:rPr>
          <w:rFonts w:ascii="Arial Nova" w:hAnsi="Arial Nova"/>
          <w:b/>
          <w:color w:val="auto"/>
        </w:rPr>
        <w:t xml:space="preserve">. </w:t>
      </w:r>
      <w:r w:rsidR="00720A20" w:rsidRPr="001022FE">
        <w:rPr>
          <w:rFonts w:ascii="Arial Nova" w:hAnsi="Arial Nova"/>
          <w:b/>
          <w:color w:val="auto"/>
        </w:rPr>
        <w:t>Juni</w:t>
      </w:r>
      <w:r w:rsidRPr="001022FE">
        <w:rPr>
          <w:rFonts w:ascii="Arial Nova" w:hAnsi="Arial Nova"/>
          <w:b/>
          <w:color w:val="auto"/>
        </w:rPr>
        <w:t xml:space="preserve"> 2022</w:t>
      </w:r>
      <w:r w:rsidR="001022FE" w:rsidRPr="001022FE">
        <w:rPr>
          <w:rFonts w:ascii="Arial Nova" w:hAnsi="Arial Nova"/>
          <w:b/>
          <w:color w:val="auto"/>
        </w:rPr>
        <w:t xml:space="preserve"> –</w:t>
      </w:r>
      <w:r w:rsidRPr="001022FE">
        <w:rPr>
          <w:color w:val="auto"/>
        </w:rPr>
        <w:t xml:space="preserve"> </w:t>
      </w:r>
      <w:r w:rsidR="001022FE" w:rsidRPr="001022FE">
        <w:rPr>
          <w:rStyle w:val="normaltextrun"/>
          <w:rFonts w:ascii="Arial Nova" w:hAnsi="Arial Nova"/>
        </w:rPr>
        <w:t xml:space="preserve">SECO, ein Goldmitglied </w:t>
      </w:r>
      <w:proofErr w:type="gramStart"/>
      <w:r w:rsidR="001022FE" w:rsidRPr="001022FE">
        <w:rPr>
          <w:rStyle w:val="normaltextrun"/>
          <w:rFonts w:ascii="Arial Nova" w:hAnsi="Arial Nova"/>
        </w:rPr>
        <w:t>der</w:t>
      </w:r>
      <w:r w:rsidR="001022FE">
        <w:rPr>
          <w:rStyle w:val="normaltextrun"/>
          <w:rFonts w:ascii="Arial Nova" w:hAnsi="Arial Nova"/>
        </w:rPr>
        <w:t xml:space="preserve"> </w:t>
      </w:r>
      <w:r w:rsidR="001022FE" w:rsidRPr="001022FE">
        <w:rPr>
          <w:rStyle w:val="normaltextrun"/>
          <w:rFonts w:ascii="Arial Nova" w:hAnsi="Arial Nova"/>
        </w:rPr>
        <w:t>Intel</w:t>
      </w:r>
      <w:proofErr w:type="gramEnd"/>
      <w:r w:rsidR="001022FE" w:rsidRPr="001022FE">
        <w:rPr>
          <w:rStyle w:val="normaltextrun"/>
          <w:rFonts w:ascii="Arial Nova" w:hAnsi="Arial Nova"/>
        </w:rPr>
        <w:t xml:space="preserve">® Partner Alliance, setzt seine Zusammenarbeit mit Intel® bei dem Design und </w:t>
      </w:r>
      <w:r w:rsidR="00D5527F">
        <w:rPr>
          <w:rStyle w:val="normaltextrun"/>
          <w:rFonts w:ascii="Arial Nova" w:hAnsi="Arial Nova"/>
        </w:rPr>
        <w:t xml:space="preserve">der </w:t>
      </w:r>
      <w:r w:rsidR="001022FE" w:rsidRPr="001022FE">
        <w:rPr>
          <w:rStyle w:val="normaltextrun"/>
          <w:rFonts w:ascii="Arial Nova" w:hAnsi="Arial Nova"/>
        </w:rPr>
        <w:t>Entwicklung von Edge-Lösungen fort</w:t>
      </w:r>
      <w:r w:rsidR="000D7265">
        <w:rPr>
          <w:rStyle w:val="normaltextrun"/>
          <w:rFonts w:ascii="Arial Nova" w:hAnsi="Arial Nova"/>
        </w:rPr>
        <w:t xml:space="preserve">. Ziel </w:t>
      </w:r>
      <w:r w:rsidR="00D5527F">
        <w:rPr>
          <w:rStyle w:val="normaltextrun"/>
          <w:rFonts w:ascii="Arial Nova" w:hAnsi="Arial Nova"/>
        </w:rPr>
        <w:t xml:space="preserve">für SECO </w:t>
      </w:r>
      <w:r w:rsidR="000D7265">
        <w:rPr>
          <w:rStyle w:val="normaltextrun"/>
          <w:rFonts w:ascii="Arial Nova" w:hAnsi="Arial Nova"/>
        </w:rPr>
        <w:t>ist es</w:t>
      </w:r>
      <w:r w:rsidR="00D5527F">
        <w:rPr>
          <w:rStyle w:val="normaltextrun"/>
          <w:rFonts w:ascii="Arial Nova" w:hAnsi="Arial Nova"/>
        </w:rPr>
        <w:t xml:space="preserve"> seinen Kunden die jeweils</w:t>
      </w:r>
      <w:r w:rsidR="001022FE" w:rsidRPr="001022FE">
        <w:rPr>
          <w:rStyle w:val="normaltextrun"/>
          <w:rFonts w:ascii="Arial Nova" w:hAnsi="Arial Nova"/>
        </w:rPr>
        <w:t xml:space="preserve"> innovativsten und leistungsfähigsten Intel® Plattformen </w:t>
      </w:r>
      <w:r w:rsidR="00D5527F">
        <w:rPr>
          <w:rStyle w:val="normaltextrun"/>
          <w:rFonts w:ascii="Arial Nova" w:hAnsi="Arial Nova"/>
        </w:rPr>
        <w:t>anzubieten</w:t>
      </w:r>
      <w:r w:rsidR="001022FE" w:rsidRPr="001022FE">
        <w:rPr>
          <w:rStyle w:val="normaltextrun"/>
          <w:rFonts w:ascii="Arial Nova" w:hAnsi="Arial Nova"/>
        </w:rPr>
        <w:t xml:space="preserve">. SECO erweitert heute </w:t>
      </w:r>
      <w:r w:rsidR="00D5527F">
        <w:rPr>
          <w:rStyle w:val="normaltextrun"/>
          <w:rFonts w:ascii="Arial Nova" w:hAnsi="Arial Nova"/>
        </w:rPr>
        <w:t xml:space="preserve">deshalb </w:t>
      </w:r>
      <w:r w:rsidR="001022FE" w:rsidRPr="001022FE">
        <w:rPr>
          <w:rStyle w:val="normaltextrun"/>
          <w:rFonts w:ascii="Arial Nova" w:hAnsi="Arial Nova"/>
        </w:rPr>
        <w:t>sein Produktportfolio um zwei neue Standard-Formfaktor-Lösungen - ein COM Express® Typ 6 Compact Modul und einen 3,5" Single Board Computer - beide basierend auf de</w:t>
      </w:r>
      <w:r w:rsidR="00D5527F">
        <w:rPr>
          <w:rStyle w:val="normaltextrun"/>
          <w:rFonts w:ascii="Arial Nova" w:hAnsi="Arial Nova"/>
        </w:rPr>
        <w:t>r</w:t>
      </w:r>
      <w:r w:rsidR="001022FE" w:rsidRPr="001022FE">
        <w:rPr>
          <w:rStyle w:val="normaltextrun"/>
          <w:rFonts w:ascii="Arial Nova" w:hAnsi="Arial Nova"/>
        </w:rPr>
        <w:t xml:space="preserve"> </w:t>
      </w:r>
      <w:r w:rsidR="001022FE" w:rsidRPr="001022FE">
        <w:rPr>
          <w:rStyle w:val="normaltextrun"/>
          <w:rFonts w:ascii="Arial Nova" w:hAnsi="Arial Nova"/>
          <w:b/>
          <w:bCs/>
        </w:rPr>
        <w:t>11th Gen Intel® Core™ Prozessoren (ehemals Tiger Lake UP3)</w:t>
      </w:r>
      <w:r w:rsidR="001022FE" w:rsidRPr="001022FE">
        <w:rPr>
          <w:rStyle w:val="normaltextrun"/>
          <w:rFonts w:ascii="Arial Nova" w:hAnsi="Arial Nova"/>
        </w:rPr>
        <w:t>.</w:t>
      </w:r>
    </w:p>
    <w:p w14:paraId="39826CD0" w14:textId="2C55DC2A" w:rsidR="008E292D" w:rsidRDefault="00EC6E5B" w:rsidP="00CE59DE">
      <w:pPr>
        <w:jc w:val="both"/>
        <w:rPr>
          <w:rFonts w:ascii="Arial Nova" w:hAnsi="Arial Nova"/>
        </w:rPr>
      </w:pPr>
      <w:proofErr w:type="gramStart"/>
      <w:r w:rsidRPr="00EC6E5B">
        <w:rPr>
          <w:rFonts w:ascii="Arial Nova" w:hAnsi="Arial Nova"/>
        </w:rPr>
        <w:t>Die Intel</w:t>
      </w:r>
      <w:proofErr w:type="gramEnd"/>
      <w:r w:rsidRPr="00EC6E5B">
        <w:rPr>
          <w:rFonts w:ascii="Arial Nova" w:hAnsi="Arial Nova"/>
        </w:rPr>
        <w:t>® Core™ Prozessoren der 11th Gen</w:t>
      </w:r>
      <w:r w:rsidR="001952B2">
        <w:rPr>
          <w:rFonts w:ascii="Arial Nova" w:hAnsi="Arial Nova"/>
        </w:rPr>
        <w:t>eration</w:t>
      </w:r>
      <w:r w:rsidRPr="00EC6E5B">
        <w:rPr>
          <w:rFonts w:ascii="Arial Nova" w:hAnsi="Arial Nova"/>
        </w:rPr>
        <w:t xml:space="preserve"> kombinieren leistungsstarke CPU-/GPU-</w:t>
      </w:r>
      <w:proofErr w:type="spellStart"/>
      <w:r w:rsidRPr="00EC6E5B">
        <w:rPr>
          <w:rFonts w:ascii="Arial Nova" w:hAnsi="Arial Nova"/>
        </w:rPr>
        <w:t>Engines</w:t>
      </w:r>
      <w:proofErr w:type="spellEnd"/>
      <w:r w:rsidRPr="00EC6E5B">
        <w:rPr>
          <w:rFonts w:ascii="Arial Nova" w:hAnsi="Arial Nova"/>
        </w:rPr>
        <w:t xml:space="preserve"> mit integrierter künstlicher Intelligenz (KI) und Deep-Learning-Funktionen in einer stromsparenden </w:t>
      </w:r>
      <w:r w:rsidR="000D7265">
        <w:rPr>
          <w:rFonts w:ascii="Arial Nova" w:hAnsi="Arial Nova"/>
        </w:rPr>
        <w:t>Prozessorplattform</w:t>
      </w:r>
      <w:r w:rsidR="001952B2">
        <w:rPr>
          <w:rFonts w:ascii="Arial Nova" w:hAnsi="Arial Nova"/>
        </w:rPr>
        <w:t>. Diese basiert</w:t>
      </w:r>
      <w:r w:rsidRPr="00EC6E5B">
        <w:rPr>
          <w:rFonts w:ascii="Arial Nova" w:hAnsi="Arial Nova"/>
        </w:rPr>
        <w:t xml:space="preserve"> </w:t>
      </w:r>
      <w:proofErr w:type="gramStart"/>
      <w:r w:rsidRPr="00EC6E5B">
        <w:rPr>
          <w:rFonts w:ascii="Arial Nova" w:hAnsi="Arial Nova"/>
        </w:rPr>
        <w:t>auf der Intel</w:t>
      </w:r>
      <w:proofErr w:type="gramEnd"/>
      <w:r w:rsidRPr="00EC6E5B">
        <w:rPr>
          <w:rFonts w:ascii="Arial Nova" w:hAnsi="Arial Nova"/>
        </w:rPr>
        <w:t>® 10-nm-Prozesstechnologie der dritten Generation</w:t>
      </w:r>
      <w:r w:rsidR="008E292D" w:rsidRPr="008E292D">
        <w:rPr>
          <w:rFonts w:ascii="Arial Nova" w:hAnsi="Arial Nova"/>
        </w:rPr>
        <w:t xml:space="preserve">. </w:t>
      </w:r>
      <w:r w:rsidR="001952B2">
        <w:rPr>
          <w:rFonts w:ascii="Arial Nova" w:hAnsi="Arial Nova"/>
        </w:rPr>
        <w:t>Zusätzlich sind die</w:t>
      </w:r>
      <w:r w:rsidRPr="00EC6E5B">
        <w:rPr>
          <w:rFonts w:ascii="Arial Nova" w:hAnsi="Arial Nova"/>
        </w:rPr>
        <w:t xml:space="preserve"> Prozessoren für das Internet </w:t>
      </w:r>
      <w:proofErr w:type="spellStart"/>
      <w:r w:rsidRPr="00EC6E5B">
        <w:rPr>
          <w:rFonts w:ascii="Arial Nova" w:hAnsi="Arial Nova"/>
        </w:rPr>
        <w:t>of</w:t>
      </w:r>
      <w:proofErr w:type="spellEnd"/>
      <w:r w:rsidRPr="00EC6E5B">
        <w:rPr>
          <w:rFonts w:ascii="Arial Nova" w:hAnsi="Arial Nova"/>
        </w:rPr>
        <w:t xml:space="preserve"> Things (IoT) entwickelt </w:t>
      </w:r>
      <w:r w:rsidR="000D7265">
        <w:rPr>
          <w:rFonts w:ascii="Arial Nova" w:hAnsi="Arial Nova"/>
        </w:rPr>
        <w:t xml:space="preserve">worden </w:t>
      </w:r>
      <w:r w:rsidRPr="00EC6E5B">
        <w:rPr>
          <w:rFonts w:ascii="Arial Nova" w:hAnsi="Arial Nova"/>
        </w:rPr>
        <w:t xml:space="preserve">und bieten ein Gleichgewicht von Leistung und Reaktionsfähigkeit, sodass sie zeitkritische Anwendungen </w:t>
      </w:r>
      <w:r w:rsidR="00D5527F">
        <w:rPr>
          <w:rFonts w:ascii="Arial Nova" w:hAnsi="Arial Nova"/>
        </w:rPr>
        <w:t xml:space="preserve">durch </w:t>
      </w:r>
      <w:r w:rsidR="00D5527F" w:rsidRPr="00EC6E5B">
        <w:rPr>
          <w:rFonts w:ascii="Arial Nova" w:hAnsi="Arial Nova"/>
        </w:rPr>
        <w:t xml:space="preserve">latenzarme </w:t>
      </w:r>
      <w:r w:rsidR="00D5527F">
        <w:rPr>
          <w:rFonts w:ascii="Arial Nova" w:hAnsi="Arial Nova"/>
        </w:rPr>
        <w:t>Performance</w:t>
      </w:r>
      <w:r w:rsidR="00D5527F" w:rsidRPr="00EC6E5B">
        <w:rPr>
          <w:rFonts w:ascii="Arial Nova" w:hAnsi="Arial Nova"/>
        </w:rPr>
        <w:t xml:space="preserve"> </w:t>
      </w:r>
      <w:r w:rsidRPr="00EC6E5B">
        <w:rPr>
          <w:rFonts w:ascii="Arial Nova" w:hAnsi="Arial Nova"/>
        </w:rPr>
        <w:t>unterstützen</w:t>
      </w:r>
      <w:r w:rsidR="008E292D" w:rsidRPr="008E292D">
        <w:rPr>
          <w:rFonts w:ascii="Arial Nova" w:hAnsi="Arial Nova"/>
        </w:rPr>
        <w:t>.</w:t>
      </w:r>
    </w:p>
    <w:p w14:paraId="1935D159" w14:textId="01E07A96" w:rsidR="00EC6E5B" w:rsidRPr="008E292D" w:rsidRDefault="004D66B6" w:rsidP="008E292D">
      <w:pPr>
        <w:jc w:val="both"/>
        <w:rPr>
          <w:rFonts w:ascii="Arial Nova" w:hAnsi="Arial Nova"/>
        </w:rPr>
      </w:pPr>
      <w:r w:rsidRPr="004D66B6">
        <w:rPr>
          <w:rFonts w:ascii="Arial Nova" w:hAnsi="Arial Nova"/>
        </w:rPr>
        <w:t xml:space="preserve">Um das Potenzial dieser Plattform in einer kompakten, modularen Lösung voll auszuschöpfen, hat SECO </w:t>
      </w:r>
      <w:hyperlink r:id="rId10" w:history="1">
        <w:r w:rsidRPr="004D66B6">
          <w:rPr>
            <w:rStyle w:val="Hyperlink"/>
            <w:rFonts w:ascii="Arial Nova" w:hAnsi="Arial Nova"/>
            <w:b/>
            <w:bCs/>
          </w:rPr>
          <w:t>CALYPSO</w:t>
        </w:r>
      </w:hyperlink>
      <w:r w:rsidRPr="004D66B6">
        <w:rPr>
          <w:rFonts w:ascii="Arial Nova" w:hAnsi="Arial Nova"/>
        </w:rPr>
        <w:t xml:space="preserve"> entwickelt</w:t>
      </w:r>
      <w:r w:rsidR="000D7265">
        <w:rPr>
          <w:rFonts w:ascii="Arial Nova" w:hAnsi="Arial Nova"/>
        </w:rPr>
        <w:t xml:space="preserve">. Dieses </w:t>
      </w:r>
      <w:r w:rsidR="000D7265" w:rsidRPr="000D7265">
        <w:rPr>
          <w:rFonts w:ascii="Arial Nova" w:hAnsi="Arial Nova"/>
          <w:b/>
          <w:bCs/>
        </w:rPr>
        <w:t>COM Express® 3.0 Type 6 Compact Modul</w:t>
      </w:r>
      <w:r w:rsidR="000D7265">
        <w:rPr>
          <w:rFonts w:ascii="Arial Nova" w:hAnsi="Arial Nova"/>
        </w:rPr>
        <w:t xml:space="preserve"> ist mit </w:t>
      </w:r>
      <w:r w:rsidRPr="004D66B6">
        <w:rPr>
          <w:rFonts w:ascii="Arial Nova" w:hAnsi="Arial Nova"/>
        </w:rPr>
        <w:t xml:space="preserve">Intel® </w:t>
      </w:r>
      <w:r w:rsidR="001E058D" w:rsidRPr="001E058D">
        <w:rPr>
          <w:rFonts w:ascii="Arial Nova" w:hAnsi="Arial Nova"/>
        </w:rPr>
        <w:t>Core</w:t>
      </w:r>
      <w:r w:rsidR="000D7265">
        <w:rPr>
          <w:rFonts w:ascii="Arial Nova" w:hAnsi="Arial Nova"/>
        </w:rPr>
        <w:t xml:space="preserve"> </w:t>
      </w:r>
      <w:r w:rsidR="001E058D" w:rsidRPr="001E058D">
        <w:rPr>
          <w:rFonts w:ascii="Arial Nova" w:hAnsi="Arial Nova"/>
        </w:rPr>
        <w:t xml:space="preserve">TM Prozessoren der 11. </w:t>
      </w:r>
      <w:r w:rsidR="001E058D" w:rsidRPr="000D7265">
        <w:rPr>
          <w:rFonts w:ascii="Arial Nova" w:hAnsi="Arial Nova"/>
        </w:rPr>
        <w:t>Generation</w:t>
      </w:r>
      <w:r w:rsidR="000D7265">
        <w:rPr>
          <w:rFonts w:ascii="Arial Nova" w:hAnsi="Arial Nova"/>
        </w:rPr>
        <w:t xml:space="preserve"> </w:t>
      </w:r>
      <w:r w:rsidR="00AF2D18">
        <w:rPr>
          <w:rFonts w:ascii="Arial Nova" w:hAnsi="Arial Nova"/>
        </w:rPr>
        <w:t xml:space="preserve">und </w:t>
      </w:r>
      <w:r w:rsidR="00AF2D18" w:rsidRPr="004D66B6">
        <w:rPr>
          <w:rFonts w:ascii="Arial Nova" w:hAnsi="Arial Nova"/>
        </w:rPr>
        <w:t>bis zu vier Kerne</w:t>
      </w:r>
      <w:r w:rsidR="00AF2D18">
        <w:rPr>
          <w:rFonts w:ascii="Arial Nova" w:hAnsi="Arial Nova"/>
        </w:rPr>
        <w:t>n</w:t>
      </w:r>
      <w:r w:rsidR="00AF2D18" w:rsidRPr="004D66B6">
        <w:rPr>
          <w:rFonts w:ascii="Arial Nova" w:hAnsi="Arial Nova"/>
        </w:rPr>
        <w:t xml:space="preserve"> </w:t>
      </w:r>
      <w:r w:rsidR="000D7265">
        <w:rPr>
          <w:rFonts w:ascii="Arial Nova" w:hAnsi="Arial Nova"/>
        </w:rPr>
        <w:t>ausgestattet.</w:t>
      </w:r>
      <w:r w:rsidR="001E058D" w:rsidRPr="000D7265">
        <w:rPr>
          <w:rFonts w:ascii="Arial Nova" w:hAnsi="Arial Nova"/>
        </w:rPr>
        <w:t xml:space="preserve"> </w:t>
      </w:r>
      <w:r w:rsidR="006A3CB0">
        <w:rPr>
          <w:rFonts w:ascii="Arial Nova" w:hAnsi="Arial Nova"/>
        </w:rPr>
        <w:t xml:space="preserve">Unter anderem werden spezielle Varianten </w:t>
      </w:r>
      <w:r w:rsidR="00FD33EE">
        <w:rPr>
          <w:rFonts w:ascii="Arial Nova" w:hAnsi="Arial Nova"/>
        </w:rPr>
        <w:t xml:space="preserve">(SKUs) </w:t>
      </w:r>
      <w:r w:rsidR="006A3CB0">
        <w:rPr>
          <w:rFonts w:ascii="Arial Nova" w:hAnsi="Arial Nova"/>
        </w:rPr>
        <w:t xml:space="preserve">angeboten, welche </w:t>
      </w:r>
      <w:r w:rsidR="00D73247" w:rsidRPr="00D73247">
        <w:rPr>
          <w:rFonts w:ascii="Arial Nova" w:eastAsia="Calibri" w:hAnsi="Arial Nova" w:cs="Times New Roman"/>
          <w:color w:val="auto"/>
          <w:lang w:eastAsia="en-US"/>
        </w:rPr>
        <w:t>speziell für industrielle Anwendungen entwickelt sind</w:t>
      </w:r>
      <w:r w:rsidR="006A3CB0">
        <w:rPr>
          <w:rFonts w:ascii="Arial Nova" w:eastAsia="Calibri" w:hAnsi="Arial Nova" w:cs="Times New Roman"/>
          <w:color w:val="auto"/>
          <w:lang w:eastAsia="en-US"/>
        </w:rPr>
        <w:t xml:space="preserve"> und </w:t>
      </w:r>
      <w:r w:rsidR="00D73247" w:rsidRPr="00D73247">
        <w:rPr>
          <w:rFonts w:ascii="Arial Nova" w:eastAsia="Calibri" w:hAnsi="Arial Nova" w:cs="Times New Roman"/>
          <w:color w:val="auto"/>
          <w:lang w:eastAsia="en-US"/>
        </w:rPr>
        <w:t xml:space="preserve">auch </w:t>
      </w:r>
      <w:r w:rsidR="00D74073" w:rsidRPr="00D74073">
        <w:rPr>
          <w:rFonts w:ascii="Arial Nova" w:eastAsia="Calibri" w:hAnsi="Arial Nova" w:cs="Times New Roman"/>
          <w:color w:val="auto"/>
          <w:lang w:eastAsia="en-US"/>
        </w:rPr>
        <w:t>Intels Funktionale</w:t>
      </w:r>
      <w:r w:rsidR="00754D2F">
        <w:rPr>
          <w:rFonts w:ascii="Arial Nova" w:eastAsia="Calibri" w:hAnsi="Arial Nova" w:cs="Times New Roman"/>
          <w:color w:val="auto"/>
          <w:lang w:eastAsia="en-US"/>
        </w:rPr>
        <w:t>s</w:t>
      </w:r>
      <w:r w:rsidR="00D74073" w:rsidRPr="00D74073">
        <w:rPr>
          <w:rFonts w:ascii="Arial Nova" w:eastAsia="Calibri" w:hAnsi="Arial Nova" w:cs="Times New Roman"/>
          <w:color w:val="auto"/>
          <w:lang w:eastAsia="en-US"/>
        </w:rPr>
        <w:t xml:space="preserve"> Sicherheit</w:t>
      </w:r>
      <w:r w:rsidR="00754D2F">
        <w:rPr>
          <w:rFonts w:ascii="Arial Nova" w:eastAsia="Calibri" w:hAnsi="Arial Nova" w:cs="Times New Roman"/>
          <w:color w:val="auto"/>
          <w:lang w:eastAsia="en-US"/>
        </w:rPr>
        <w:t xml:space="preserve"> E</w:t>
      </w:r>
      <w:r w:rsidR="00D74073" w:rsidRPr="00D74073">
        <w:rPr>
          <w:rFonts w:ascii="Arial Nova" w:eastAsia="Calibri" w:hAnsi="Arial Nova" w:cs="Times New Roman"/>
          <w:color w:val="auto"/>
          <w:lang w:eastAsia="en-US"/>
        </w:rPr>
        <w:t>ssential Design Paket</w:t>
      </w:r>
      <w:r w:rsidR="006A3CB0">
        <w:rPr>
          <w:rFonts w:ascii="Arial Nova" w:eastAsia="Calibri" w:hAnsi="Arial Nova" w:cs="Times New Roman"/>
          <w:color w:val="auto"/>
          <w:lang w:eastAsia="en-US"/>
        </w:rPr>
        <w:t xml:space="preserve"> enthalten</w:t>
      </w:r>
      <w:r w:rsidR="00D73247" w:rsidRPr="00D73247">
        <w:rPr>
          <w:rFonts w:ascii="Arial Nova" w:eastAsia="Calibri" w:hAnsi="Arial Nova" w:cs="Times New Roman"/>
          <w:color w:val="auto"/>
          <w:lang w:eastAsia="en-US"/>
        </w:rPr>
        <w:t>.</w:t>
      </w:r>
      <w:r w:rsidR="001E058D" w:rsidRPr="00D73247">
        <w:rPr>
          <w:rFonts w:ascii="Arial Nova" w:eastAsia="Calibri" w:hAnsi="Arial Nova" w:cs="Times New Roman"/>
          <w:color w:val="auto"/>
          <w:lang w:eastAsia="en-US"/>
        </w:rPr>
        <w:t xml:space="preserve"> </w:t>
      </w:r>
      <w:proofErr w:type="gramStart"/>
      <w:r w:rsidR="00D73247" w:rsidRPr="00D73247">
        <w:rPr>
          <w:rFonts w:ascii="Arial Nova" w:eastAsia="Calibri" w:hAnsi="Arial Nova" w:cs="Times New Roman"/>
          <w:color w:val="auto"/>
          <w:lang w:eastAsia="en-US"/>
        </w:rPr>
        <w:t>Die integrierte Intel</w:t>
      </w:r>
      <w:proofErr w:type="gramEnd"/>
      <w:r w:rsidR="00D73247" w:rsidRPr="00D73247">
        <w:rPr>
          <w:rFonts w:ascii="Arial Nova" w:eastAsia="Calibri" w:hAnsi="Arial Nova" w:cs="Times New Roman"/>
          <w:color w:val="auto"/>
          <w:lang w:eastAsia="en-US"/>
        </w:rPr>
        <w:t xml:space="preserve">® Iris® </w:t>
      </w:r>
      <w:proofErr w:type="spellStart"/>
      <w:r w:rsidR="00D73247" w:rsidRPr="00D73247">
        <w:rPr>
          <w:rFonts w:ascii="Arial Nova" w:eastAsia="Calibri" w:hAnsi="Arial Nova" w:cs="Times New Roman"/>
          <w:color w:val="auto"/>
          <w:lang w:eastAsia="en-US"/>
        </w:rPr>
        <w:t>Xe</w:t>
      </w:r>
      <w:proofErr w:type="spellEnd"/>
      <w:r w:rsidR="00D73247" w:rsidRPr="00D73247">
        <w:rPr>
          <w:rFonts w:ascii="Arial Nova" w:eastAsia="Calibri" w:hAnsi="Arial Nova" w:cs="Times New Roman"/>
          <w:color w:val="auto"/>
          <w:lang w:eastAsia="en-US"/>
        </w:rPr>
        <w:t xml:space="preserve">-Grafik </w:t>
      </w:r>
      <w:r w:rsidR="00FD33EE">
        <w:rPr>
          <w:rFonts w:ascii="Arial Nova" w:eastAsia="Calibri" w:hAnsi="Arial Nova" w:cs="Times New Roman"/>
          <w:color w:val="auto"/>
          <w:lang w:eastAsia="en-US"/>
        </w:rPr>
        <w:t xml:space="preserve">– </w:t>
      </w:r>
      <w:r w:rsidR="00D73247" w:rsidRPr="00D73247">
        <w:rPr>
          <w:rFonts w:ascii="Arial Nova" w:eastAsia="Calibri" w:hAnsi="Arial Nova" w:cs="Times New Roman"/>
          <w:color w:val="auto"/>
          <w:lang w:eastAsia="en-US"/>
        </w:rPr>
        <w:t>mit</w:t>
      </w:r>
      <w:r w:rsidR="00FD33EE">
        <w:rPr>
          <w:rFonts w:ascii="Arial Nova" w:eastAsia="Calibri" w:hAnsi="Arial Nova" w:cs="Times New Roman"/>
          <w:color w:val="auto"/>
          <w:lang w:eastAsia="en-US"/>
        </w:rPr>
        <w:t xml:space="preserve"> </w:t>
      </w:r>
      <w:r w:rsidR="00D73247" w:rsidRPr="00D73247">
        <w:rPr>
          <w:rFonts w:ascii="Arial Nova" w:eastAsia="Calibri" w:hAnsi="Arial Nova" w:cs="Times New Roman"/>
          <w:color w:val="auto"/>
          <w:lang w:eastAsia="en-US"/>
        </w:rPr>
        <w:t xml:space="preserve">bis zu 96 Ausführungseinheiten </w:t>
      </w:r>
      <w:r w:rsidR="00FD33EE">
        <w:rPr>
          <w:rFonts w:ascii="Arial Nova" w:eastAsia="Calibri" w:hAnsi="Arial Nova" w:cs="Times New Roman"/>
          <w:color w:val="auto"/>
          <w:lang w:eastAsia="en-US"/>
        </w:rPr>
        <w:t xml:space="preserve">– </w:t>
      </w:r>
      <w:r w:rsidR="00D73247" w:rsidRPr="00D73247">
        <w:rPr>
          <w:rFonts w:ascii="Arial Nova" w:eastAsia="Calibri" w:hAnsi="Arial Nova" w:cs="Times New Roman"/>
          <w:color w:val="auto"/>
          <w:lang w:eastAsia="en-US"/>
        </w:rPr>
        <w:t>unterstützt</w:t>
      </w:r>
      <w:r w:rsidR="00FD33EE">
        <w:rPr>
          <w:rFonts w:ascii="Arial Nova" w:eastAsia="Calibri" w:hAnsi="Arial Nova" w:cs="Times New Roman"/>
          <w:color w:val="auto"/>
          <w:lang w:eastAsia="en-US"/>
        </w:rPr>
        <w:t xml:space="preserve"> </w:t>
      </w:r>
      <w:r w:rsidR="00D73247" w:rsidRPr="00D73247">
        <w:rPr>
          <w:rFonts w:ascii="Arial Nova" w:eastAsia="Calibri" w:hAnsi="Arial Nova" w:cs="Times New Roman"/>
          <w:color w:val="auto"/>
          <w:lang w:eastAsia="en-US"/>
        </w:rPr>
        <w:t>verschiedene hardwarebeschleunigte Video-Dekodier-/</w:t>
      </w:r>
      <w:proofErr w:type="spellStart"/>
      <w:r w:rsidR="00D73247" w:rsidRPr="00D73247">
        <w:rPr>
          <w:rFonts w:ascii="Arial Nova" w:eastAsia="Calibri" w:hAnsi="Arial Nova" w:cs="Times New Roman"/>
          <w:color w:val="auto"/>
          <w:lang w:eastAsia="en-US"/>
        </w:rPr>
        <w:t>Kodierstandards</w:t>
      </w:r>
      <w:proofErr w:type="spellEnd"/>
      <w:r w:rsidR="00D73247" w:rsidRPr="00D73247">
        <w:rPr>
          <w:rFonts w:ascii="Arial Nova" w:eastAsia="Calibri" w:hAnsi="Arial Nova" w:cs="Times New Roman"/>
          <w:color w:val="auto"/>
          <w:lang w:eastAsia="en-US"/>
        </w:rPr>
        <w:t xml:space="preserve"> und kann bis zu vier unabhängigen Displays über DisplayPort (DP), </w:t>
      </w:r>
      <w:proofErr w:type="spellStart"/>
      <w:r w:rsidR="00D73247" w:rsidRPr="00D73247">
        <w:rPr>
          <w:rFonts w:ascii="Arial Nova" w:eastAsia="Calibri" w:hAnsi="Arial Nova" w:cs="Times New Roman"/>
          <w:color w:val="auto"/>
          <w:lang w:eastAsia="en-US"/>
        </w:rPr>
        <w:t>eDP</w:t>
      </w:r>
      <w:proofErr w:type="spellEnd"/>
      <w:r w:rsidR="00D73247" w:rsidRPr="00D73247">
        <w:rPr>
          <w:rFonts w:ascii="Arial Nova" w:eastAsia="Calibri" w:hAnsi="Arial Nova" w:cs="Times New Roman"/>
          <w:color w:val="auto"/>
          <w:lang w:eastAsia="en-US"/>
        </w:rPr>
        <w:t>, HDMI, DVI oder LVDS ansteuern</w:t>
      </w:r>
      <w:r w:rsidR="001E058D" w:rsidRPr="00D73247">
        <w:rPr>
          <w:rFonts w:ascii="Arial Nova" w:eastAsia="Calibri" w:hAnsi="Arial Nova" w:cs="Times New Roman"/>
          <w:color w:val="auto"/>
          <w:lang w:eastAsia="en-US"/>
        </w:rPr>
        <w:t>.</w:t>
      </w:r>
    </w:p>
    <w:p w14:paraId="53035E55" w14:textId="61C784F1" w:rsidR="008E292D" w:rsidRDefault="00501260" w:rsidP="001022FE">
      <w:pPr>
        <w:jc w:val="both"/>
        <w:rPr>
          <w:rFonts w:ascii="Arial Nova" w:hAnsi="Arial Nova"/>
          <w:noProof/>
        </w:rPr>
      </w:pPr>
      <w:r w:rsidRPr="00501260">
        <w:rPr>
          <w:rFonts w:ascii="Arial Nova" w:hAnsi="Arial Nova"/>
          <w:noProof/>
        </w:rPr>
        <w:t xml:space="preserve">Der COM Express® CALYPSO verfügt über zwei DDR4 SO-DIMM Steckplätze, die bis zu 64 GB DDR4-3200 Speicher unterstützen. In-Band Error Correcting Code (IBECC) für verbesserte Zuverlässigkeit wird von ausgewählten Intel® Core™ Industrial </w:t>
      </w:r>
      <w:r w:rsidR="00FD33EE">
        <w:rPr>
          <w:rFonts w:ascii="Arial Nova" w:hAnsi="Arial Nova"/>
          <w:noProof/>
        </w:rPr>
        <w:t xml:space="preserve">Prozessorvarinaten (SKUs) </w:t>
      </w:r>
      <w:r w:rsidRPr="00501260">
        <w:rPr>
          <w:rFonts w:ascii="Arial Nova" w:hAnsi="Arial Nova"/>
          <w:noProof/>
        </w:rPr>
        <w:t>unterstützt</w:t>
      </w:r>
      <w:r w:rsidR="00A20E98" w:rsidRPr="00501260">
        <w:rPr>
          <w:rFonts w:ascii="Arial Nova" w:hAnsi="Arial Nova"/>
          <w:noProof/>
        </w:rPr>
        <w:t xml:space="preserve">. </w:t>
      </w:r>
      <w:r w:rsidRPr="00501260">
        <w:rPr>
          <w:rFonts w:ascii="Arial Nova" w:hAnsi="Arial Nova"/>
          <w:noProof/>
        </w:rPr>
        <w:t xml:space="preserve">Zu den Anschlussmöglichkeiten gehören: 4x SuperSpeed USB (5Gbps) Host-Ports; 8x USB 2.0; 1x Gigabit Ethernet; 8x PCI-e x1 Gen 3; PEG x4 Gen 4; und </w:t>
      </w:r>
      <w:r w:rsidR="00FD33EE">
        <w:rPr>
          <w:rFonts w:ascii="Arial Nova" w:hAnsi="Arial Nova"/>
          <w:noProof/>
        </w:rPr>
        <w:t xml:space="preserve">eine </w:t>
      </w:r>
      <w:r w:rsidRPr="00501260">
        <w:rPr>
          <w:rFonts w:ascii="Arial Nova" w:hAnsi="Arial Nova"/>
          <w:noProof/>
        </w:rPr>
        <w:t>HD-Audio-Schnittstelle. Microsoft® Windows 10, Microsoft® Windows 10 IoT Core und Linux Betriebssysteme werden unterstützt</w:t>
      </w:r>
      <w:r w:rsidR="00A20E98" w:rsidRPr="00501260">
        <w:rPr>
          <w:rFonts w:ascii="Arial Nova" w:hAnsi="Arial Nova"/>
          <w:noProof/>
        </w:rPr>
        <w:t xml:space="preserve">. </w:t>
      </w:r>
      <w:r w:rsidRPr="00501260">
        <w:rPr>
          <w:rFonts w:ascii="Arial Nova" w:hAnsi="Arial Nova"/>
          <w:noProof/>
        </w:rPr>
        <w:t>Dank seiner Eigenschaften eignet sich der COM Express® CALYPSO hervorragend für Anwendungen, die Reaktionsfähigkeit und hohe Leistung erfordern, wie z. B. Edge Computing, Digital Signage, Transportwesen und biomedizinische Geräte</w:t>
      </w:r>
      <w:r w:rsidR="00A20E98" w:rsidRPr="00501260">
        <w:rPr>
          <w:rFonts w:ascii="Arial Nova" w:hAnsi="Arial Nova"/>
          <w:noProof/>
        </w:rPr>
        <w:t>.</w:t>
      </w:r>
    </w:p>
    <w:p w14:paraId="41D4406D" w14:textId="4A0F113D" w:rsidR="00111F05" w:rsidRDefault="00111F05" w:rsidP="00111F05">
      <w:pPr>
        <w:jc w:val="both"/>
        <w:rPr>
          <w:rFonts w:ascii="Arial Nova" w:hAnsi="Arial Nova"/>
          <w:color w:val="auto"/>
        </w:rPr>
      </w:pPr>
      <w:r w:rsidRPr="00111F05">
        <w:rPr>
          <w:rFonts w:ascii="Arial Nova" w:hAnsi="Arial Nova"/>
          <w:color w:val="auto"/>
        </w:rPr>
        <w:t xml:space="preserve">SECO nutzte </w:t>
      </w:r>
      <w:proofErr w:type="gramStart"/>
      <w:r w:rsidRPr="00111F05">
        <w:rPr>
          <w:rFonts w:ascii="Arial Nova" w:hAnsi="Arial Nova"/>
          <w:color w:val="auto"/>
        </w:rPr>
        <w:t>die gleiche Intel</w:t>
      </w:r>
      <w:proofErr w:type="gramEnd"/>
      <w:r w:rsidRPr="00111F05">
        <w:rPr>
          <w:rFonts w:ascii="Arial Nova" w:hAnsi="Arial Nova"/>
          <w:color w:val="auto"/>
        </w:rPr>
        <w:t xml:space="preserve">®-Prozessorplattform auch für die Entwicklung eines </w:t>
      </w:r>
      <w:r w:rsidRPr="00111F05">
        <w:rPr>
          <w:rFonts w:ascii="Arial Nova" w:hAnsi="Arial Nova"/>
          <w:b/>
          <w:bCs/>
          <w:color w:val="auto"/>
        </w:rPr>
        <w:t>Single-Board-Computers</w:t>
      </w:r>
      <w:r w:rsidRPr="00111F05">
        <w:rPr>
          <w:rFonts w:ascii="Arial Nova" w:hAnsi="Arial Nova"/>
          <w:color w:val="auto"/>
        </w:rPr>
        <w:t xml:space="preserve"> </w:t>
      </w:r>
      <w:r w:rsidR="00754D2F">
        <w:rPr>
          <w:rFonts w:ascii="Arial Nova" w:hAnsi="Arial Nova"/>
          <w:color w:val="auto"/>
        </w:rPr>
        <w:t>mit</w:t>
      </w:r>
      <w:r w:rsidRPr="00111F05">
        <w:rPr>
          <w:rFonts w:ascii="Arial Nova" w:hAnsi="Arial Nova"/>
          <w:color w:val="auto"/>
        </w:rPr>
        <w:t xml:space="preserve"> </w:t>
      </w:r>
      <w:r w:rsidRPr="00111F05">
        <w:rPr>
          <w:rFonts w:ascii="Arial Nova" w:hAnsi="Arial Nova"/>
          <w:b/>
          <w:bCs/>
          <w:color w:val="auto"/>
        </w:rPr>
        <w:t>3,5</w:t>
      </w:r>
      <w:r w:rsidRPr="00111F05">
        <w:rPr>
          <w:rFonts w:ascii="Arial Nova" w:hAnsi="Arial Nova"/>
          <w:color w:val="auto"/>
        </w:rPr>
        <w:t xml:space="preserve">"-Formfaktor: </w:t>
      </w:r>
      <w:hyperlink r:id="rId11" w:history="1">
        <w:r w:rsidRPr="00111F05">
          <w:rPr>
            <w:rFonts w:ascii="Arial Nova" w:eastAsia="Calibri" w:hAnsi="Arial Nova" w:cs="Times New Roman"/>
            <w:b/>
            <w:bCs/>
            <w:color w:val="0563C1"/>
            <w:u w:val="single"/>
            <w:lang w:eastAsia="en-US"/>
          </w:rPr>
          <w:t>PRISMA</w:t>
        </w:r>
      </w:hyperlink>
      <w:r w:rsidRPr="00111F05">
        <w:rPr>
          <w:rFonts w:ascii="Arial Nova" w:hAnsi="Arial Nova"/>
          <w:color w:val="auto"/>
        </w:rPr>
        <w:t xml:space="preserve">. Der PRISMA SBC ist mit 2x DDR4-3200 SODIMM Speichersteckplätzen ausgestattet, die bis zu 64 GB unterstützen (IBECC verfügbar mit Intel® Core™ </w:t>
      </w:r>
      <w:r w:rsidR="00FD33EE">
        <w:rPr>
          <w:rFonts w:ascii="Arial Nova" w:hAnsi="Arial Nova"/>
          <w:color w:val="auto"/>
        </w:rPr>
        <w:t>I</w:t>
      </w:r>
      <w:r w:rsidRPr="00111F05">
        <w:rPr>
          <w:rFonts w:ascii="Arial Nova" w:hAnsi="Arial Nova"/>
          <w:color w:val="auto"/>
        </w:rPr>
        <w:t xml:space="preserve">ndustrial </w:t>
      </w:r>
      <w:r w:rsidR="00FD33EE">
        <w:rPr>
          <w:rFonts w:ascii="Arial Nova" w:hAnsi="Arial Nova"/>
          <w:color w:val="auto"/>
        </w:rPr>
        <w:t>SKUs</w:t>
      </w:r>
      <w:r w:rsidRPr="00111F05">
        <w:rPr>
          <w:rFonts w:ascii="Arial Nova" w:hAnsi="Arial Nova"/>
          <w:color w:val="auto"/>
        </w:rPr>
        <w:t>).</w:t>
      </w:r>
      <w:r w:rsidR="00CE59DE" w:rsidRPr="00111F05">
        <w:rPr>
          <w:rFonts w:ascii="Arial Nova" w:hAnsi="Arial Nova"/>
          <w:color w:val="auto"/>
        </w:rPr>
        <w:t xml:space="preserve"> </w:t>
      </w:r>
      <w:r w:rsidRPr="00111F05">
        <w:rPr>
          <w:rFonts w:ascii="Arial Nova" w:hAnsi="Arial Nova"/>
          <w:color w:val="auto"/>
        </w:rPr>
        <w:t xml:space="preserve">Bis zu vier unabhängigen Displays mit bis zu 4K-Auflösung sind über DP-, </w:t>
      </w:r>
      <w:proofErr w:type="spellStart"/>
      <w:r w:rsidRPr="00111F05">
        <w:rPr>
          <w:rFonts w:ascii="Arial Nova" w:hAnsi="Arial Nova"/>
          <w:color w:val="auto"/>
        </w:rPr>
        <w:t>eDP</w:t>
      </w:r>
      <w:proofErr w:type="spellEnd"/>
      <w:r w:rsidRPr="00111F05">
        <w:rPr>
          <w:rFonts w:ascii="Arial Nova" w:hAnsi="Arial Nova"/>
          <w:color w:val="auto"/>
        </w:rPr>
        <w:t xml:space="preserve">- oder LVDS-Schnittstellen verfügbar. Die </w:t>
      </w:r>
      <w:proofErr w:type="spellStart"/>
      <w:r w:rsidRPr="00111F05">
        <w:rPr>
          <w:rFonts w:ascii="Arial Nova" w:hAnsi="Arial Nova"/>
          <w:color w:val="auto"/>
        </w:rPr>
        <w:t>Konnektivitätsoptionen</w:t>
      </w:r>
      <w:proofErr w:type="spellEnd"/>
      <w:r w:rsidRPr="00111F05">
        <w:rPr>
          <w:rFonts w:ascii="Arial Nova" w:hAnsi="Arial Nova"/>
          <w:color w:val="auto"/>
        </w:rPr>
        <w:t xml:space="preserve"> sind breit gefächert: 2x 2,5 Gigabit Ethernet; M.2-Steckplatz für Wi-Fi/Bluetooth; 4x </w:t>
      </w:r>
      <w:proofErr w:type="spellStart"/>
      <w:r w:rsidRPr="00111F05">
        <w:rPr>
          <w:rFonts w:ascii="Arial Nova" w:hAnsi="Arial Nova"/>
          <w:color w:val="auto"/>
        </w:rPr>
        <w:t>SuperSpeed</w:t>
      </w:r>
      <w:proofErr w:type="spellEnd"/>
      <w:r w:rsidRPr="00111F05">
        <w:rPr>
          <w:rFonts w:ascii="Arial Nova" w:hAnsi="Arial Nova"/>
          <w:color w:val="auto"/>
        </w:rPr>
        <w:t xml:space="preserve"> USB (10 </w:t>
      </w:r>
      <w:proofErr w:type="spellStart"/>
      <w:r w:rsidRPr="00111F05">
        <w:rPr>
          <w:rFonts w:ascii="Arial Nova" w:hAnsi="Arial Nova"/>
          <w:color w:val="auto"/>
        </w:rPr>
        <w:t>Gbps</w:t>
      </w:r>
      <w:proofErr w:type="spellEnd"/>
      <w:r w:rsidRPr="00111F05">
        <w:rPr>
          <w:rFonts w:ascii="Arial Nova" w:hAnsi="Arial Nova"/>
          <w:color w:val="auto"/>
        </w:rPr>
        <w:t xml:space="preserve">); 2x USB 2.0; 4x PCIe Gen 3; 8x GPIOs; und HD-Audio-Schnittstelle. Microsoft® Windows 10 IoT Enterprise LTSC, Linux LTS und </w:t>
      </w:r>
      <w:proofErr w:type="spellStart"/>
      <w:r w:rsidRPr="00111F05">
        <w:rPr>
          <w:rFonts w:ascii="Arial Nova" w:hAnsi="Arial Nova"/>
          <w:color w:val="auto"/>
        </w:rPr>
        <w:t>Yocto</w:t>
      </w:r>
      <w:proofErr w:type="spellEnd"/>
      <w:r w:rsidRPr="00111F05">
        <w:rPr>
          <w:rFonts w:ascii="Arial Nova" w:hAnsi="Arial Nova"/>
          <w:color w:val="auto"/>
        </w:rPr>
        <w:t xml:space="preserve"> Betriebssysteme werden unterstützt</w:t>
      </w:r>
      <w:r>
        <w:rPr>
          <w:rFonts w:ascii="Arial Nova" w:hAnsi="Arial Nova"/>
          <w:color w:val="auto"/>
        </w:rPr>
        <w:t>.</w:t>
      </w:r>
    </w:p>
    <w:p w14:paraId="64B6A990" w14:textId="1CB3DBF8" w:rsidR="00111F05" w:rsidRDefault="004436B8" w:rsidP="00111F05">
      <w:pPr>
        <w:jc w:val="both"/>
        <w:rPr>
          <w:rStyle w:val="normaltextrun"/>
        </w:rPr>
      </w:pPr>
      <w:r w:rsidRPr="004436B8">
        <w:rPr>
          <w:rStyle w:val="normaltextrun"/>
          <w:rFonts w:ascii="Arial Nova" w:hAnsi="Arial Nova"/>
        </w:rPr>
        <w:t>D</w:t>
      </w:r>
      <w:r>
        <w:rPr>
          <w:rStyle w:val="normaltextrun"/>
          <w:rFonts w:ascii="Arial Nova" w:hAnsi="Arial Nova"/>
        </w:rPr>
        <w:t>as</w:t>
      </w:r>
      <w:r w:rsidRPr="004436B8">
        <w:rPr>
          <w:rStyle w:val="normaltextrun"/>
          <w:rFonts w:ascii="Arial Nova" w:hAnsi="Arial Nova"/>
        </w:rPr>
        <w:t xml:space="preserve"> PRISMA SBC ist im industriellen Temperaturbereich (-40°C bis +85°C) einsetzbar und </w:t>
      </w:r>
      <w:r>
        <w:rPr>
          <w:rStyle w:val="normaltextrun"/>
          <w:rFonts w:ascii="Arial Nova" w:hAnsi="Arial Nova"/>
        </w:rPr>
        <w:t>eignet</w:t>
      </w:r>
      <w:r w:rsidRPr="004436B8">
        <w:rPr>
          <w:rStyle w:val="normaltextrun"/>
          <w:rFonts w:ascii="Arial Nova" w:hAnsi="Arial Nova"/>
        </w:rPr>
        <w:t xml:space="preserve"> sich </w:t>
      </w:r>
      <w:r>
        <w:rPr>
          <w:rStyle w:val="normaltextrun"/>
          <w:rFonts w:ascii="Arial Nova" w:hAnsi="Arial Nova"/>
        </w:rPr>
        <w:t>vor allem für</w:t>
      </w:r>
      <w:r w:rsidRPr="004436B8">
        <w:rPr>
          <w:rStyle w:val="normaltextrun"/>
          <w:rFonts w:ascii="Arial Nova" w:hAnsi="Arial Nova"/>
        </w:rPr>
        <w:t xml:space="preserve"> Anwendungen </w:t>
      </w:r>
      <w:r>
        <w:rPr>
          <w:rStyle w:val="normaltextrun"/>
          <w:rFonts w:ascii="Arial Nova" w:hAnsi="Arial Nova"/>
        </w:rPr>
        <w:t>in der</w:t>
      </w:r>
      <w:r w:rsidRPr="004436B8">
        <w:rPr>
          <w:rStyle w:val="normaltextrun"/>
          <w:rFonts w:ascii="Arial Nova" w:hAnsi="Arial Nova"/>
        </w:rPr>
        <w:t xml:space="preserve"> industrielle</w:t>
      </w:r>
      <w:r>
        <w:rPr>
          <w:rStyle w:val="normaltextrun"/>
          <w:rFonts w:ascii="Arial Nova" w:hAnsi="Arial Nova"/>
        </w:rPr>
        <w:t>n</w:t>
      </w:r>
      <w:r w:rsidRPr="004436B8">
        <w:rPr>
          <w:rStyle w:val="normaltextrun"/>
          <w:rFonts w:ascii="Arial Nova" w:hAnsi="Arial Nova"/>
        </w:rPr>
        <w:t xml:space="preserve"> Automatisierung und Steuerung, Überwachung, </w:t>
      </w:r>
      <w:r>
        <w:rPr>
          <w:rStyle w:val="normaltextrun"/>
          <w:rFonts w:ascii="Arial Nova" w:hAnsi="Arial Nova"/>
        </w:rPr>
        <w:t>fürs Gaming</w:t>
      </w:r>
      <w:r w:rsidRPr="004436B8">
        <w:rPr>
          <w:rStyle w:val="normaltextrun"/>
          <w:rFonts w:ascii="Arial Nova" w:hAnsi="Arial Nova"/>
        </w:rPr>
        <w:t xml:space="preserve"> und Edge Computing</w:t>
      </w:r>
      <w:r w:rsidR="00111F05" w:rsidRPr="00111F05">
        <w:rPr>
          <w:rStyle w:val="normaltextrun"/>
        </w:rPr>
        <w:t>.</w:t>
      </w:r>
    </w:p>
    <w:p w14:paraId="5AF3B3A9" w14:textId="77777777" w:rsidR="000A79FD" w:rsidRDefault="008464E2" w:rsidP="008464E2">
      <w:pPr>
        <w:jc w:val="both"/>
        <w:rPr>
          <w:rFonts w:ascii="Arial Nova" w:hAnsi="Arial Nova"/>
        </w:rPr>
      </w:pPr>
      <w:r w:rsidRPr="008464E2">
        <w:rPr>
          <w:rFonts w:ascii="Arial Nova" w:hAnsi="Arial Nova"/>
        </w:rPr>
        <w:lastRenderedPageBreak/>
        <w:t xml:space="preserve">Sowohl </w:t>
      </w:r>
      <w:r w:rsidR="004436B8">
        <w:rPr>
          <w:rFonts w:ascii="Arial Nova" w:hAnsi="Arial Nova"/>
        </w:rPr>
        <w:t xml:space="preserve">das </w:t>
      </w:r>
      <w:r w:rsidRPr="008464E2">
        <w:rPr>
          <w:rFonts w:ascii="Arial Nova" w:hAnsi="Arial Nova"/>
        </w:rPr>
        <w:t>COM Express® CALYPSO als auch</w:t>
      </w:r>
      <w:r w:rsidR="004436B8">
        <w:rPr>
          <w:rFonts w:ascii="Arial Nova" w:hAnsi="Arial Nova"/>
        </w:rPr>
        <w:t xml:space="preserve"> das</w:t>
      </w:r>
      <w:r w:rsidRPr="008464E2">
        <w:rPr>
          <w:rFonts w:ascii="Arial Nova" w:hAnsi="Arial Nova"/>
        </w:rPr>
        <w:t xml:space="preserve"> PRISMA SBC sind mit der </w:t>
      </w:r>
      <w:hyperlink r:id="rId12" w:history="1">
        <w:proofErr w:type="spellStart"/>
        <w:r w:rsidRPr="008464E2">
          <w:rPr>
            <w:rFonts w:ascii="Arial Nova" w:eastAsia="Calibri" w:hAnsi="Arial Nova" w:cs="Segoe UI"/>
            <w:b/>
            <w:bCs/>
            <w:color w:val="0563C1"/>
            <w:u w:val="single"/>
            <w:shd w:val="clear" w:color="auto" w:fill="FFFFFF"/>
            <w:lang w:eastAsia="en-US"/>
          </w:rPr>
          <w:t>Clea</w:t>
        </w:r>
        <w:proofErr w:type="spellEnd"/>
      </w:hyperlink>
      <w:r w:rsidRPr="008464E2">
        <w:rPr>
          <w:rFonts w:ascii="Arial Nova" w:hAnsi="Arial Nova"/>
        </w:rPr>
        <w:t xml:space="preserve"> IoT-</w:t>
      </w:r>
      <w:r w:rsidR="004436B8">
        <w:rPr>
          <w:rFonts w:ascii="Arial Nova" w:hAnsi="Arial Nova"/>
        </w:rPr>
        <w:t>AI-</w:t>
      </w:r>
      <w:r w:rsidRPr="008464E2">
        <w:rPr>
          <w:rFonts w:ascii="Arial Nova" w:hAnsi="Arial Nova"/>
        </w:rPr>
        <w:t>Plattform von SECO kompatibel, die Edge-Geräte einfach mit der Cloud verbindet</w:t>
      </w:r>
      <w:r w:rsidR="004436B8">
        <w:rPr>
          <w:rFonts w:ascii="Arial Nova" w:hAnsi="Arial Nova"/>
        </w:rPr>
        <w:t>. Dadurch sind</w:t>
      </w:r>
      <w:r w:rsidRPr="008464E2">
        <w:rPr>
          <w:rFonts w:ascii="Arial Nova" w:hAnsi="Arial Nova"/>
        </w:rPr>
        <w:t xml:space="preserve"> Geräteüberwachung in Echtzeit, Analysen, Infrastrukturmanagement, vorausschauende Wartung, sichere Software-Updates aus der Ferne und vieles mehr </w:t>
      </w:r>
      <w:r w:rsidR="004436B8">
        <w:rPr>
          <w:rFonts w:ascii="Arial Nova" w:hAnsi="Arial Nova"/>
        </w:rPr>
        <w:t>möglich</w:t>
      </w:r>
      <w:r w:rsidRPr="008464E2">
        <w:rPr>
          <w:rFonts w:ascii="Arial Nova" w:hAnsi="Arial Nova"/>
        </w:rPr>
        <w:t xml:space="preserve">. </w:t>
      </w:r>
    </w:p>
    <w:p w14:paraId="2B0787CB" w14:textId="04103751" w:rsidR="008464E2" w:rsidRDefault="008464E2" w:rsidP="008464E2">
      <w:pPr>
        <w:jc w:val="both"/>
        <w:rPr>
          <w:b/>
          <w:i/>
          <w:iCs/>
        </w:rPr>
      </w:pPr>
      <w:r w:rsidRPr="008464E2">
        <w:rPr>
          <w:rFonts w:ascii="Arial Nova" w:hAnsi="Arial Nova"/>
        </w:rPr>
        <w:t xml:space="preserve">Erfahren Sie mehr </w:t>
      </w:r>
      <w:r w:rsidR="004436B8">
        <w:rPr>
          <w:rFonts w:ascii="Arial Nova" w:hAnsi="Arial Nova"/>
        </w:rPr>
        <w:t xml:space="preserve">über CALYPSO, PRISMA und </w:t>
      </w:r>
      <w:proofErr w:type="spellStart"/>
      <w:r w:rsidR="004436B8">
        <w:rPr>
          <w:rFonts w:ascii="Arial Nova" w:hAnsi="Arial Nova"/>
        </w:rPr>
        <w:t>Clea</w:t>
      </w:r>
      <w:proofErr w:type="spellEnd"/>
      <w:r w:rsidR="000A79FD">
        <w:rPr>
          <w:rFonts w:ascii="Arial Nova" w:hAnsi="Arial Nova"/>
        </w:rPr>
        <w:t xml:space="preserve"> am SECO Stand 1-320</w:t>
      </w:r>
      <w:r w:rsidRPr="008464E2">
        <w:rPr>
          <w:rFonts w:ascii="Arial Nova" w:hAnsi="Arial Nova"/>
        </w:rPr>
        <w:t xml:space="preserve"> auf der </w:t>
      </w:r>
      <w:proofErr w:type="spellStart"/>
      <w:r w:rsidRPr="008464E2">
        <w:rPr>
          <w:rFonts w:ascii="Arial Nova" w:hAnsi="Arial Nova"/>
        </w:rPr>
        <w:t>embedded</w:t>
      </w:r>
      <w:proofErr w:type="spellEnd"/>
      <w:r w:rsidRPr="008464E2">
        <w:rPr>
          <w:rFonts w:ascii="Arial Nova" w:hAnsi="Arial Nova"/>
        </w:rPr>
        <w:t xml:space="preserve"> </w:t>
      </w:r>
      <w:proofErr w:type="spellStart"/>
      <w:r w:rsidRPr="008464E2">
        <w:rPr>
          <w:rFonts w:ascii="Arial Nova" w:hAnsi="Arial Nova"/>
        </w:rPr>
        <w:t>world</w:t>
      </w:r>
      <w:proofErr w:type="spellEnd"/>
      <w:r w:rsidRPr="008464E2">
        <w:rPr>
          <w:rFonts w:ascii="Arial Nova" w:hAnsi="Arial Nova"/>
        </w:rPr>
        <w:t xml:space="preserve"> 2022, vom 21. bis 23. Juni in Nürnberg.</w:t>
      </w:r>
    </w:p>
    <w:p w14:paraId="7399BF99" w14:textId="77777777" w:rsidR="008464E2" w:rsidRDefault="008464E2" w:rsidP="008464E2">
      <w:pPr>
        <w:jc w:val="both"/>
        <w:rPr>
          <w:b/>
          <w:i/>
          <w:iCs/>
        </w:rPr>
      </w:pPr>
    </w:p>
    <w:p w14:paraId="0FCD270D" w14:textId="77777777" w:rsidR="008464E2" w:rsidRDefault="008464E2" w:rsidP="008464E2">
      <w:pPr>
        <w:jc w:val="both"/>
        <w:rPr>
          <w:b/>
          <w:i/>
          <w:iCs/>
        </w:rPr>
      </w:pPr>
    </w:p>
    <w:p w14:paraId="24CC60A4" w14:textId="6C583A9A" w:rsidR="008E2CC9" w:rsidRPr="008464E2" w:rsidRDefault="008E2CC9" w:rsidP="008464E2">
      <w:pPr>
        <w:jc w:val="both"/>
        <w:rPr>
          <w:rFonts w:ascii="Arial Nova" w:hAnsi="Arial Nova"/>
        </w:rPr>
      </w:pPr>
      <w:r w:rsidRPr="00C07556">
        <w:rPr>
          <w:b/>
          <w:i/>
          <w:iCs/>
        </w:rPr>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13"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3B814CA8"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14"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9E5D398" w14:textId="085EEC71"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15" w:history="1">
        <w:r w:rsidRPr="0054492A">
          <w:rPr>
            <w:rStyle w:val="Hyperlink"/>
            <w:rFonts w:ascii="Arial Nova Light" w:hAnsi="Arial Nova Light"/>
            <w:color w:val="auto"/>
          </w:rPr>
          <w:t>http://north.seco.com</w:t>
        </w:r>
      </w:hyperlink>
    </w:p>
    <w:sectPr w:rsidR="00AC1B6E" w:rsidRPr="0054492A" w:rsidSect="003B622F">
      <w:headerReference w:type="default" r:id="rId16"/>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DD44" w14:textId="77777777" w:rsidR="00FD23B3" w:rsidRDefault="00FD23B3">
      <w:pPr>
        <w:spacing w:after="0"/>
      </w:pPr>
      <w:r>
        <w:separator/>
      </w:r>
    </w:p>
  </w:endnote>
  <w:endnote w:type="continuationSeparator" w:id="0">
    <w:p w14:paraId="436736D0" w14:textId="77777777" w:rsidR="00FD23B3" w:rsidRDefault="00FD2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BFFF" w14:textId="77777777" w:rsidR="00FD23B3" w:rsidRDefault="00FD23B3">
      <w:pPr>
        <w:spacing w:after="0"/>
      </w:pPr>
      <w:r>
        <w:separator/>
      </w:r>
    </w:p>
  </w:footnote>
  <w:footnote w:type="continuationSeparator" w:id="0">
    <w:p w14:paraId="63D6E722" w14:textId="77777777" w:rsidR="00FD23B3" w:rsidRDefault="00FD23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FD23B3"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43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9"/>
    <w:rsid w:val="00053304"/>
    <w:rsid w:val="0007192E"/>
    <w:rsid w:val="00075596"/>
    <w:rsid w:val="000A25E4"/>
    <w:rsid w:val="000A79FD"/>
    <w:rsid w:val="000D7265"/>
    <w:rsid w:val="000E1129"/>
    <w:rsid w:val="001022FE"/>
    <w:rsid w:val="00111F05"/>
    <w:rsid w:val="0012386D"/>
    <w:rsid w:val="00145730"/>
    <w:rsid w:val="00167863"/>
    <w:rsid w:val="0017533E"/>
    <w:rsid w:val="00190C6D"/>
    <w:rsid w:val="001952B2"/>
    <w:rsid w:val="001A26AA"/>
    <w:rsid w:val="001A52CB"/>
    <w:rsid w:val="001B1FE1"/>
    <w:rsid w:val="001C5089"/>
    <w:rsid w:val="001D09B8"/>
    <w:rsid w:val="001D5075"/>
    <w:rsid w:val="001E058D"/>
    <w:rsid w:val="00234B1C"/>
    <w:rsid w:val="00256A9D"/>
    <w:rsid w:val="0027097F"/>
    <w:rsid w:val="00291048"/>
    <w:rsid w:val="00292BAA"/>
    <w:rsid w:val="002A78AF"/>
    <w:rsid w:val="002D78B2"/>
    <w:rsid w:val="002E1C0C"/>
    <w:rsid w:val="002F2812"/>
    <w:rsid w:val="00301882"/>
    <w:rsid w:val="00312B36"/>
    <w:rsid w:val="0032273D"/>
    <w:rsid w:val="003355B3"/>
    <w:rsid w:val="003C059A"/>
    <w:rsid w:val="003F2A53"/>
    <w:rsid w:val="003F4F62"/>
    <w:rsid w:val="004314D4"/>
    <w:rsid w:val="004366D3"/>
    <w:rsid w:val="004436B8"/>
    <w:rsid w:val="00497CED"/>
    <w:rsid w:val="004B0A6D"/>
    <w:rsid w:val="004B689E"/>
    <w:rsid w:val="004C07A6"/>
    <w:rsid w:val="004D66B6"/>
    <w:rsid w:val="004E6CA6"/>
    <w:rsid w:val="004E70F8"/>
    <w:rsid w:val="004F49F9"/>
    <w:rsid w:val="00501260"/>
    <w:rsid w:val="005015B6"/>
    <w:rsid w:val="005048CF"/>
    <w:rsid w:val="00524716"/>
    <w:rsid w:val="0052770B"/>
    <w:rsid w:val="0054492A"/>
    <w:rsid w:val="00590644"/>
    <w:rsid w:val="005A1739"/>
    <w:rsid w:val="005B3CEA"/>
    <w:rsid w:val="005C407C"/>
    <w:rsid w:val="005D036A"/>
    <w:rsid w:val="00606754"/>
    <w:rsid w:val="00612EC3"/>
    <w:rsid w:val="00642A95"/>
    <w:rsid w:val="00665E5D"/>
    <w:rsid w:val="00685325"/>
    <w:rsid w:val="006A3CB0"/>
    <w:rsid w:val="00711C6A"/>
    <w:rsid w:val="00720A20"/>
    <w:rsid w:val="0073324D"/>
    <w:rsid w:val="007369C3"/>
    <w:rsid w:val="00753259"/>
    <w:rsid w:val="00754D2F"/>
    <w:rsid w:val="007839DE"/>
    <w:rsid w:val="007A7B19"/>
    <w:rsid w:val="007B0819"/>
    <w:rsid w:val="007D049A"/>
    <w:rsid w:val="007E6E68"/>
    <w:rsid w:val="007F6107"/>
    <w:rsid w:val="0082484E"/>
    <w:rsid w:val="00832741"/>
    <w:rsid w:val="008464E2"/>
    <w:rsid w:val="008676F0"/>
    <w:rsid w:val="00883001"/>
    <w:rsid w:val="00892676"/>
    <w:rsid w:val="008C76D3"/>
    <w:rsid w:val="008D1F2E"/>
    <w:rsid w:val="008E292D"/>
    <w:rsid w:val="008E2CC9"/>
    <w:rsid w:val="008E426A"/>
    <w:rsid w:val="00915448"/>
    <w:rsid w:val="00941D4F"/>
    <w:rsid w:val="009708FD"/>
    <w:rsid w:val="00973A97"/>
    <w:rsid w:val="009A62E9"/>
    <w:rsid w:val="00A050E3"/>
    <w:rsid w:val="00A14CD8"/>
    <w:rsid w:val="00A1777C"/>
    <w:rsid w:val="00A20E98"/>
    <w:rsid w:val="00A36027"/>
    <w:rsid w:val="00A4367D"/>
    <w:rsid w:val="00A44844"/>
    <w:rsid w:val="00A70CD0"/>
    <w:rsid w:val="00AC1B6E"/>
    <w:rsid w:val="00AD5DB0"/>
    <w:rsid w:val="00AF2D18"/>
    <w:rsid w:val="00B0467B"/>
    <w:rsid w:val="00B23C0F"/>
    <w:rsid w:val="00B90388"/>
    <w:rsid w:val="00BA6174"/>
    <w:rsid w:val="00BC7D51"/>
    <w:rsid w:val="00BF0868"/>
    <w:rsid w:val="00C03159"/>
    <w:rsid w:val="00C04E31"/>
    <w:rsid w:val="00C313D8"/>
    <w:rsid w:val="00C7573D"/>
    <w:rsid w:val="00C7647E"/>
    <w:rsid w:val="00C871F7"/>
    <w:rsid w:val="00CB70FB"/>
    <w:rsid w:val="00CE59DE"/>
    <w:rsid w:val="00D036F4"/>
    <w:rsid w:val="00D14BBC"/>
    <w:rsid w:val="00D26508"/>
    <w:rsid w:val="00D539D4"/>
    <w:rsid w:val="00D5527F"/>
    <w:rsid w:val="00D73247"/>
    <w:rsid w:val="00D74073"/>
    <w:rsid w:val="00DB686A"/>
    <w:rsid w:val="00DD3011"/>
    <w:rsid w:val="00E0588B"/>
    <w:rsid w:val="00E2645F"/>
    <w:rsid w:val="00E75D3C"/>
    <w:rsid w:val="00E9554D"/>
    <w:rsid w:val="00EC0102"/>
    <w:rsid w:val="00EC6E5B"/>
    <w:rsid w:val="00ED4273"/>
    <w:rsid w:val="00F07BD7"/>
    <w:rsid w:val="00F14903"/>
    <w:rsid w:val="00F40A83"/>
    <w:rsid w:val="00FA72D0"/>
    <w:rsid w:val="00FB4C6C"/>
    <w:rsid w:val="00FD23B3"/>
    <w:rsid w:val="00FD33EE"/>
    <w:rsid w:val="00FE5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styleId="NichtaufgelsteErwhnung">
    <w:name w:val="Unresolved Mention"/>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semiHidden/>
    <w:unhideWhenUsed/>
    <w:rsid w:val="00941D4F"/>
    <w:rPr>
      <w:sz w:val="20"/>
      <w:szCs w:val="20"/>
    </w:rPr>
  </w:style>
  <w:style w:type="character" w:customStyle="1" w:styleId="KommentartextZchn">
    <w:name w:val="Kommentartext Zchn"/>
    <w:basedOn w:val="Absatz-Standardschriftart"/>
    <w:link w:val="Kommentartext"/>
    <w:uiPriority w:val="99"/>
    <w:semiHidden/>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 w:type="paragraph" w:styleId="berarbeitung">
    <w:name w:val="Revision"/>
    <w:hidden/>
    <w:uiPriority w:val="99"/>
    <w:semiHidden/>
    <w:rsid w:val="004C07A6"/>
    <w:pPr>
      <w:spacing w:after="0" w:line="240" w:lineRule="auto"/>
    </w:pPr>
    <w:rPr>
      <w:rFonts w:eastAsia="Times New Roman" w:cs="Arial"/>
      <w:color w:val="000000" w:themeColor="text1" w:themeShade="BF"/>
      <w:lang w:eastAsia="de-DE"/>
    </w:rPr>
  </w:style>
  <w:style w:type="character" w:customStyle="1" w:styleId="normaltextrun">
    <w:name w:val="normaltextrun"/>
    <w:basedOn w:val="Absatz-Standardschriftart"/>
    <w:rsid w:val="00D539D4"/>
  </w:style>
  <w:style w:type="character" w:customStyle="1" w:styleId="eop">
    <w:name w:val="eop"/>
    <w:basedOn w:val="Absatz-Standardschriftart"/>
    <w:rsid w:val="001A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iles.hamburg.garz-fricke.de\z\Marketing\_Public\A_CI\1_Unternehmenstexte\Aktuelle%20Boilerplates\Noch%20nicht%20final\north.sec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ea.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ge.seco.com/de/prisma.html" TargetMode="External"/><Relationship Id="rId5" Type="http://schemas.openxmlformats.org/officeDocument/2006/relationships/styles" Target="styles.xml"/><Relationship Id="rId15" Type="http://schemas.openxmlformats.org/officeDocument/2006/relationships/hyperlink" Target="http://north.seco.com" TargetMode="External"/><Relationship Id="rId10" Type="http://schemas.openxmlformats.org/officeDocument/2006/relationships/hyperlink" Target="https://edge.seco.com/de/calyps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arz@garz-fric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B440-0E3F-4C94-9D72-FD994665CB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1604F-9F2A-4610-9760-8EEF90F5B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2</cp:revision>
  <dcterms:created xsi:type="dcterms:W3CDTF">2022-06-07T06:56:00Z</dcterms:created>
  <dcterms:modified xsi:type="dcterms:W3CDTF">2022-06-07T06:56:00Z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