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7F82D748" w14:textId="340C76EC" w:rsidR="0057526C" w:rsidRPr="00EB3D50" w:rsidRDefault="00860146" w:rsidP="007A3EB8">
      <w:pPr>
        <w:widowControl w:val="0"/>
        <w:autoSpaceDE w:val="0"/>
        <w:autoSpaceDN w:val="0"/>
        <w:adjustRightInd w:val="0"/>
        <w:spacing w:line="360" w:lineRule="auto"/>
        <w:jc w:val="both"/>
        <w:rPr>
          <w:rFonts w:ascii="Arial" w:hAnsi="Arial" w:cs="Arial"/>
          <w:b/>
          <w:color w:val="000000" w:themeColor="text1"/>
          <w:spacing w:val="8"/>
          <w:kern w:val="36"/>
          <w:sz w:val="32"/>
          <w:szCs w:val="32"/>
        </w:rPr>
      </w:pPr>
      <w:r w:rsidRPr="00EB3D50">
        <w:rPr>
          <w:rFonts w:ascii="Arial" w:hAnsi="Arial" w:cs="Arial"/>
          <w:b/>
          <w:bCs/>
          <w:color w:val="000000" w:themeColor="text1"/>
          <w:sz w:val="32"/>
          <w:szCs w:val="32"/>
        </w:rPr>
        <w:t>Glamox</w:t>
      </w:r>
      <w:r w:rsidR="00637FA9" w:rsidRPr="00EB3D50">
        <w:rPr>
          <w:rFonts w:ascii="Arial" w:hAnsi="Arial" w:cs="Arial"/>
          <w:b/>
          <w:bCs/>
          <w:color w:val="000000" w:themeColor="text1"/>
          <w:sz w:val="32"/>
          <w:szCs w:val="32"/>
        </w:rPr>
        <w:t xml:space="preserve"> </w:t>
      </w:r>
      <w:r w:rsidR="00672785">
        <w:rPr>
          <w:rFonts w:ascii="Arial" w:hAnsi="Arial" w:cs="Arial"/>
          <w:b/>
          <w:bCs/>
          <w:color w:val="000000" w:themeColor="text1"/>
          <w:sz w:val="32"/>
          <w:szCs w:val="32"/>
        </w:rPr>
        <w:t xml:space="preserve">C77: Neue </w:t>
      </w:r>
      <w:r w:rsidR="008A112E">
        <w:rPr>
          <w:rFonts w:ascii="Arial" w:hAnsi="Arial" w:cs="Arial"/>
          <w:b/>
          <w:bCs/>
          <w:color w:val="000000" w:themeColor="text1"/>
          <w:sz w:val="32"/>
          <w:szCs w:val="32"/>
        </w:rPr>
        <w:t xml:space="preserve">Serie für komfortable </w:t>
      </w:r>
      <w:r w:rsidR="00976067">
        <w:rPr>
          <w:rFonts w:ascii="Arial" w:hAnsi="Arial" w:cs="Arial"/>
          <w:b/>
          <w:bCs/>
          <w:color w:val="000000" w:themeColor="text1"/>
          <w:sz w:val="32"/>
          <w:szCs w:val="32"/>
        </w:rPr>
        <w:t>B</w:t>
      </w:r>
      <w:r w:rsidR="008A112E">
        <w:rPr>
          <w:rFonts w:ascii="Arial" w:hAnsi="Arial" w:cs="Arial"/>
          <w:b/>
          <w:bCs/>
          <w:color w:val="000000" w:themeColor="text1"/>
          <w:sz w:val="32"/>
          <w:szCs w:val="32"/>
        </w:rPr>
        <w:t>eleuchtung</w:t>
      </w:r>
    </w:p>
    <w:p w14:paraId="23D0DFCE" w14:textId="55E4826A" w:rsidR="00860146" w:rsidRPr="00494BB4" w:rsidRDefault="008E2F6A" w:rsidP="007A3EB8">
      <w:pPr>
        <w:widowControl w:val="0"/>
        <w:autoSpaceDE w:val="0"/>
        <w:autoSpaceDN w:val="0"/>
        <w:adjustRightInd w:val="0"/>
        <w:spacing w:after="120" w:line="360" w:lineRule="auto"/>
        <w:jc w:val="both"/>
        <w:rPr>
          <w:rFonts w:ascii="Arial" w:hAnsi="Arial" w:cs="Arial"/>
          <w:b/>
          <w:color w:val="000000"/>
          <w:spacing w:val="8"/>
          <w:kern w:val="36"/>
        </w:rPr>
      </w:pPr>
      <w:r>
        <w:rPr>
          <w:rFonts w:ascii="Arial" w:hAnsi="Arial" w:cs="Arial"/>
        </w:rPr>
        <w:t>Modernste Reflektor</w:t>
      </w:r>
      <w:r w:rsidR="005341F9">
        <w:rPr>
          <w:rFonts w:ascii="Arial" w:hAnsi="Arial" w:cs="Arial"/>
        </w:rPr>
        <w:t>-T</w:t>
      </w:r>
      <w:r>
        <w:rPr>
          <w:rFonts w:ascii="Arial" w:hAnsi="Arial" w:cs="Arial"/>
        </w:rPr>
        <w:t>echnologie für maximale Entblendung</w:t>
      </w:r>
    </w:p>
    <w:p w14:paraId="52D27BC1" w14:textId="00D7EBA3" w:rsidR="00AE3602" w:rsidRPr="00CE5F21" w:rsidRDefault="002837D4" w:rsidP="00851D2B">
      <w:pPr>
        <w:pStyle w:val="StandardWeb"/>
        <w:spacing w:before="0" w:beforeAutospacing="0" w:after="120" w:afterAutospacing="0" w:line="360" w:lineRule="auto"/>
        <w:jc w:val="both"/>
        <w:rPr>
          <w:rFonts w:ascii="Arial" w:hAnsi="Arial" w:cs="Arial"/>
          <w:b/>
          <w:bCs/>
          <w:sz w:val="22"/>
          <w:szCs w:val="22"/>
        </w:rPr>
      </w:pPr>
      <w:r w:rsidRPr="00494BB4">
        <w:rPr>
          <w:rFonts w:ascii="Arial" w:hAnsi="Arial" w:cs="Arial"/>
          <w:bCs/>
          <w:color w:val="333333"/>
          <w:sz w:val="22"/>
          <w:szCs w:val="22"/>
          <w:shd w:val="clear" w:color="auto" w:fill="FFFFFF"/>
        </w:rPr>
        <w:t>Hildesheim</w:t>
      </w:r>
      <w:r w:rsidRPr="003D26B0">
        <w:rPr>
          <w:rFonts w:ascii="Arial" w:hAnsi="Arial" w:cs="Arial"/>
          <w:bCs/>
          <w:sz w:val="22"/>
          <w:szCs w:val="22"/>
          <w:shd w:val="clear" w:color="auto" w:fill="FFFFFF"/>
        </w:rPr>
        <w:t>,</w:t>
      </w:r>
      <w:r w:rsidR="00C526CF" w:rsidRPr="003D26B0">
        <w:rPr>
          <w:rFonts w:ascii="Arial" w:hAnsi="Arial" w:cs="Arial"/>
          <w:bCs/>
          <w:sz w:val="22"/>
          <w:szCs w:val="22"/>
        </w:rPr>
        <w:t xml:space="preserve"> </w:t>
      </w:r>
      <w:r w:rsidR="004713EE" w:rsidRPr="004713EE">
        <w:rPr>
          <w:rFonts w:ascii="Arial" w:hAnsi="Arial" w:cs="Arial"/>
          <w:bCs/>
          <w:sz w:val="22"/>
          <w:szCs w:val="22"/>
        </w:rPr>
        <w:t>18</w:t>
      </w:r>
      <w:r w:rsidRPr="004713EE">
        <w:rPr>
          <w:rFonts w:ascii="Arial" w:hAnsi="Arial" w:cs="Arial"/>
          <w:bCs/>
          <w:sz w:val="22"/>
          <w:szCs w:val="22"/>
        </w:rPr>
        <w:t>.</w:t>
      </w:r>
      <w:r w:rsidR="004713EE" w:rsidRPr="004713EE">
        <w:rPr>
          <w:rFonts w:ascii="Arial" w:hAnsi="Arial" w:cs="Arial"/>
          <w:bCs/>
          <w:sz w:val="22"/>
          <w:szCs w:val="22"/>
        </w:rPr>
        <w:t> </w:t>
      </w:r>
      <w:r w:rsidR="003D26B0" w:rsidRPr="003D26B0">
        <w:rPr>
          <w:rFonts w:ascii="Arial" w:hAnsi="Arial" w:cs="Arial"/>
          <w:bCs/>
          <w:color w:val="000000" w:themeColor="text1"/>
          <w:sz w:val="22"/>
          <w:szCs w:val="22"/>
        </w:rPr>
        <w:t>Ma</w:t>
      </w:r>
      <w:r w:rsidR="004713EE">
        <w:rPr>
          <w:rFonts w:ascii="Arial" w:hAnsi="Arial" w:cs="Arial"/>
          <w:bCs/>
          <w:color w:val="000000" w:themeColor="text1"/>
          <w:sz w:val="22"/>
          <w:szCs w:val="22"/>
        </w:rPr>
        <w:t>i </w:t>
      </w:r>
      <w:r w:rsidRPr="00494BB4">
        <w:rPr>
          <w:rFonts w:ascii="Arial" w:hAnsi="Arial" w:cs="Arial"/>
          <w:bCs/>
          <w:sz w:val="22"/>
          <w:szCs w:val="22"/>
        </w:rPr>
        <w:t>2022</w:t>
      </w:r>
      <w:r w:rsidR="002E4268" w:rsidRPr="00860146">
        <w:rPr>
          <w:rFonts w:ascii="Arial" w:hAnsi="Arial" w:cs="Arial"/>
          <w:sz w:val="22"/>
          <w:szCs w:val="22"/>
        </w:rPr>
        <w:t xml:space="preserve"> – </w:t>
      </w:r>
      <w:r w:rsidR="000D54BF">
        <w:rPr>
          <w:rFonts w:ascii="Arial" w:hAnsi="Arial" w:cs="Arial"/>
          <w:b/>
          <w:bCs/>
          <w:sz w:val="22"/>
          <w:szCs w:val="22"/>
        </w:rPr>
        <w:t xml:space="preserve">Mit der C77-Familie </w:t>
      </w:r>
      <w:r w:rsidR="003D678A">
        <w:rPr>
          <w:rFonts w:ascii="Arial" w:hAnsi="Arial" w:cs="Arial"/>
          <w:b/>
          <w:bCs/>
          <w:sz w:val="22"/>
          <w:szCs w:val="22"/>
        </w:rPr>
        <w:t>präsentiert</w:t>
      </w:r>
      <w:r w:rsidR="000D54BF">
        <w:rPr>
          <w:rFonts w:ascii="Arial" w:hAnsi="Arial" w:cs="Arial"/>
          <w:b/>
          <w:bCs/>
          <w:sz w:val="22"/>
          <w:szCs w:val="22"/>
        </w:rPr>
        <w:t xml:space="preserve"> Glamox flache </w:t>
      </w:r>
      <w:r w:rsidR="00976067">
        <w:rPr>
          <w:rFonts w:ascii="Arial" w:hAnsi="Arial" w:cs="Arial"/>
          <w:b/>
          <w:bCs/>
          <w:sz w:val="22"/>
          <w:szCs w:val="22"/>
        </w:rPr>
        <w:t>Innenraumleuchten</w:t>
      </w:r>
      <w:r w:rsidR="000D54BF">
        <w:rPr>
          <w:rFonts w:ascii="Arial" w:hAnsi="Arial" w:cs="Arial"/>
          <w:b/>
          <w:bCs/>
          <w:sz w:val="22"/>
          <w:szCs w:val="22"/>
        </w:rPr>
        <w:t xml:space="preserve"> </w:t>
      </w:r>
      <w:r w:rsidR="00976067">
        <w:rPr>
          <w:rFonts w:ascii="Arial" w:hAnsi="Arial" w:cs="Arial"/>
          <w:b/>
          <w:bCs/>
          <w:sz w:val="22"/>
          <w:szCs w:val="22"/>
        </w:rPr>
        <w:t>mit abgerundeten Ecken im aktuellen Industried</w:t>
      </w:r>
      <w:r w:rsidR="00976067" w:rsidRPr="00D571A1">
        <w:rPr>
          <w:rFonts w:ascii="Arial" w:hAnsi="Arial" w:cs="Arial"/>
          <w:b/>
          <w:bCs/>
          <w:sz w:val="22"/>
          <w:szCs w:val="22"/>
        </w:rPr>
        <w:t>esign</w:t>
      </w:r>
      <w:r w:rsidR="000D54BF" w:rsidRPr="00D571A1">
        <w:rPr>
          <w:rFonts w:ascii="Arial" w:hAnsi="Arial" w:cs="Arial"/>
          <w:b/>
          <w:bCs/>
          <w:sz w:val="22"/>
          <w:szCs w:val="22"/>
        </w:rPr>
        <w:t xml:space="preserve">. </w:t>
      </w:r>
      <w:r w:rsidR="003D678A">
        <w:rPr>
          <w:rFonts w:ascii="Arial" w:hAnsi="Arial" w:cs="Arial"/>
          <w:b/>
          <w:bCs/>
          <w:sz w:val="22"/>
          <w:szCs w:val="22"/>
        </w:rPr>
        <w:t xml:space="preserve">Vier Modelle </w:t>
      </w:r>
      <w:r w:rsidR="00976067">
        <w:rPr>
          <w:rFonts w:ascii="Arial" w:hAnsi="Arial" w:cs="Arial"/>
          <w:b/>
          <w:bCs/>
          <w:sz w:val="22"/>
          <w:szCs w:val="22"/>
        </w:rPr>
        <w:t xml:space="preserve">in verschiedenen Größen </w:t>
      </w:r>
      <w:r w:rsidR="003D678A">
        <w:rPr>
          <w:rFonts w:ascii="Arial" w:hAnsi="Arial" w:cs="Arial"/>
          <w:b/>
          <w:bCs/>
          <w:sz w:val="22"/>
          <w:szCs w:val="22"/>
        </w:rPr>
        <w:t xml:space="preserve">sind zum Start der neuen Serie als </w:t>
      </w:r>
      <w:r w:rsidR="00E0052D">
        <w:rPr>
          <w:rFonts w:ascii="Arial" w:hAnsi="Arial" w:cs="Arial"/>
          <w:b/>
          <w:bCs/>
          <w:sz w:val="22"/>
          <w:szCs w:val="22"/>
        </w:rPr>
        <w:t xml:space="preserve">Pendel-, </w:t>
      </w:r>
      <w:r w:rsidR="003D678A">
        <w:rPr>
          <w:rFonts w:ascii="Arial" w:hAnsi="Arial" w:cs="Arial"/>
          <w:b/>
          <w:bCs/>
          <w:sz w:val="22"/>
          <w:szCs w:val="22"/>
        </w:rPr>
        <w:t xml:space="preserve">Einbau- </w:t>
      </w:r>
      <w:r w:rsidR="00E0052D">
        <w:rPr>
          <w:rFonts w:ascii="Arial" w:hAnsi="Arial" w:cs="Arial"/>
          <w:b/>
          <w:bCs/>
          <w:sz w:val="22"/>
          <w:szCs w:val="22"/>
        </w:rPr>
        <w:t>sowie</w:t>
      </w:r>
      <w:r w:rsidR="003D678A">
        <w:rPr>
          <w:rFonts w:ascii="Arial" w:hAnsi="Arial" w:cs="Arial"/>
          <w:b/>
          <w:bCs/>
          <w:sz w:val="22"/>
          <w:szCs w:val="22"/>
        </w:rPr>
        <w:t xml:space="preserve"> Anbau-Leuchte</w:t>
      </w:r>
      <w:r w:rsidR="00A83B57">
        <w:rPr>
          <w:rFonts w:ascii="Arial" w:hAnsi="Arial" w:cs="Arial"/>
          <w:b/>
          <w:bCs/>
          <w:sz w:val="22"/>
          <w:szCs w:val="22"/>
        </w:rPr>
        <w:t>n</w:t>
      </w:r>
      <w:r w:rsidR="00E0052D">
        <w:rPr>
          <w:rFonts w:ascii="Arial" w:hAnsi="Arial" w:cs="Arial"/>
          <w:b/>
          <w:bCs/>
          <w:sz w:val="22"/>
          <w:szCs w:val="22"/>
        </w:rPr>
        <w:t xml:space="preserve"> </w:t>
      </w:r>
      <w:r w:rsidR="00A83B57" w:rsidRPr="002A24F0">
        <w:rPr>
          <w:rFonts w:ascii="Arial" w:hAnsi="Arial" w:cs="Arial"/>
          <w:b/>
          <w:bCs/>
          <w:sz w:val="22"/>
          <w:szCs w:val="22"/>
        </w:rPr>
        <w:t>und Downlights</w:t>
      </w:r>
      <w:r w:rsidR="00A83B57">
        <w:rPr>
          <w:rFonts w:ascii="Arial" w:hAnsi="Arial" w:cs="Arial"/>
          <w:b/>
          <w:bCs/>
          <w:sz w:val="22"/>
          <w:szCs w:val="22"/>
        </w:rPr>
        <w:t xml:space="preserve"> </w:t>
      </w:r>
      <w:r w:rsidR="00D10CCC">
        <w:rPr>
          <w:rFonts w:ascii="Arial" w:hAnsi="Arial" w:cs="Arial"/>
          <w:b/>
          <w:bCs/>
          <w:sz w:val="22"/>
          <w:szCs w:val="22"/>
        </w:rPr>
        <w:t>erhältlich</w:t>
      </w:r>
      <w:r w:rsidR="00E0052D">
        <w:rPr>
          <w:rFonts w:ascii="Arial" w:hAnsi="Arial" w:cs="Arial"/>
          <w:b/>
          <w:bCs/>
          <w:sz w:val="22"/>
          <w:szCs w:val="22"/>
        </w:rPr>
        <w:t xml:space="preserve">. Die unterschiedlichen Modellvarianten C77-P, C77-R, C77-S und C77-R MINI sind für </w:t>
      </w:r>
      <w:r w:rsidR="00BA12FB">
        <w:rPr>
          <w:rFonts w:ascii="Arial" w:hAnsi="Arial" w:cs="Arial"/>
          <w:b/>
          <w:bCs/>
          <w:sz w:val="22"/>
          <w:szCs w:val="22"/>
        </w:rPr>
        <w:t>große</w:t>
      </w:r>
      <w:r w:rsidR="00E0052D">
        <w:rPr>
          <w:rFonts w:ascii="Arial" w:hAnsi="Arial" w:cs="Arial"/>
          <w:b/>
          <w:bCs/>
          <w:sz w:val="22"/>
          <w:szCs w:val="22"/>
        </w:rPr>
        <w:t xml:space="preserve"> Büroräume </w:t>
      </w:r>
      <w:r w:rsidR="009C7FBE">
        <w:rPr>
          <w:rFonts w:ascii="Arial" w:hAnsi="Arial" w:cs="Arial"/>
          <w:b/>
          <w:bCs/>
          <w:sz w:val="22"/>
          <w:szCs w:val="22"/>
        </w:rPr>
        <w:t>und</w:t>
      </w:r>
      <w:r w:rsidR="00E0052D">
        <w:rPr>
          <w:rFonts w:ascii="Arial" w:hAnsi="Arial" w:cs="Arial"/>
          <w:b/>
          <w:bCs/>
          <w:sz w:val="22"/>
          <w:szCs w:val="22"/>
        </w:rPr>
        <w:t xml:space="preserve"> Einzelarbeitsplätze, Flur</w:t>
      </w:r>
      <w:r w:rsidR="00BA12FB">
        <w:rPr>
          <w:rFonts w:ascii="Arial" w:hAnsi="Arial" w:cs="Arial"/>
          <w:b/>
          <w:bCs/>
          <w:sz w:val="22"/>
          <w:szCs w:val="22"/>
        </w:rPr>
        <w:t>bereiche</w:t>
      </w:r>
      <w:r w:rsidR="00E0052D">
        <w:rPr>
          <w:rFonts w:ascii="Arial" w:hAnsi="Arial" w:cs="Arial"/>
          <w:b/>
          <w:bCs/>
          <w:sz w:val="22"/>
          <w:szCs w:val="22"/>
        </w:rPr>
        <w:t xml:space="preserve">, Klassenzimmer </w:t>
      </w:r>
      <w:r w:rsidR="009C7FBE">
        <w:rPr>
          <w:rFonts w:ascii="Arial" w:hAnsi="Arial" w:cs="Arial"/>
          <w:b/>
          <w:bCs/>
          <w:sz w:val="22"/>
          <w:szCs w:val="22"/>
        </w:rPr>
        <w:t>sowie</w:t>
      </w:r>
      <w:r w:rsidR="00E0052D">
        <w:rPr>
          <w:rFonts w:ascii="Arial" w:hAnsi="Arial" w:cs="Arial"/>
          <w:b/>
          <w:bCs/>
          <w:sz w:val="22"/>
          <w:szCs w:val="22"/>
        </w:rPr>
        <w:t xml:space="preserve"> Konferenzräume gedacht. </w:t>
      </w:r>
      <w:r w:rsidR="00333B24" w:rsidRPr="00333B24">
        <w:rPr>
          <w:rFonts w:ascii="Arial" w:hAnsi="Arial" w:cs="Arial"/>
          <w:b/>
          <w:bCs/>
          <w:sz w:val="22"/>
          <w:szCs w:val="22"/>
        </w:rPr>
        <w:t xml:space="preserve">Der gewölbte Stahlrahmen ist bei allen C77-Leuchten </w:t>
      </w:r>
      <w:r w:rsidR="00333B24">
        <w:rPr>
          <w:rFonts w:ascii="Arial" w:hAnsi="Arial" w:cs="Arial"/>
          <w:b/>
          <w:bCs/>
          <w:sz w:val="22"/>
          <w:szCs w:val="22"/>
        </w:rPr>
        <w:t>in Weiß gehalten</w:t>
      </w:r>
      <w:r w:rsidR="00333B24" w:rsidRPr="00333B24">
        <w:rPr>
          <w:rFonts w:ascii="Arial" w:hAnsi="Arial" w:cs="Arial"/>
          <w:b/>
          <w:bCs/>
          <w:sz w:val="22"/>
          <w:szCs w:val="22"/>
        </w:rPr>
        <w:t>.</w:t>
      </w:r>
      <w:r w:rsidR="00333B24">
        <w:rPr>
          <w:rFonts w:ascii="Arial" w:hAnsi="Arial" w:cs="Arial"/>
          <w:b/>
          <w:bCs/>
          <w:sz w:val="22"/>
          <w:szCs w:val="22"/>
        </w:rPr>
        <w:t xml:space="preserve"> </w:t>
      </w:r>
      <w:r w:rsidR="00033CFF">
        <w:rPr>
          <w:rFonts w:ascii="Arial" w:hAnsi="Arial" w:cs="Arial"/>
          <w:b/>
          <w:bCs/>
          <w:sz w:val="22"/>
          <w:szCs w:val="22"/>
        </w:rPr>
        <w:t xml:space="preserve">Die </w:t>
      </w:r>
      <w:r w:rsidR="00F123F7">
        <w:rPr>
          <w:rFonts w:ascii="Arial" w:hAnsi="Arial" w:cs="Arial"/>
          <w:b/>
          <w:bCs/>
          <w:sz w:val="22"/>
          <w:szCs w:val="22"/>
        </w:rPr>
        <w:t>in Silber</w:t>
      </w:r>
      <w:r w:rsidR="0046490E">
        <w:rPr>
          <w:rFonts w:ascii="Arial" w:hAnsi="Arial" w:cs="Arial"/>
          <w:b/>
          <w:bCs/>
          <w:sz w:val="22"/>
          <w:szCs w:val="22"/>
        </w:rPr>
        <w:t>metallic</w:t>
      </w:r>
      <w:r w:rsidR="00F123F7">
        <w:rPr>
          <w:rFonts w:ascii="Arial" w:hAnsi="Arial" w:cs="Arial"/>
          <w:b/>
          <w:bCs/>
          <w:sz w:val="22"/>
          <w:szCs w:val="22"/>
        </w:rPr>
        <w:t xml:space="preserve">, Schwarz oder Weiß erhältlichen </w:t>
      </w:r>
      <w:r w:rsidR="00033CFF">
        <w:rPr>
          <w:rFonts w:ascii="Arial" w:hAnsi="Arial" w:cs="Arial"/>
          <w:b/>
          <w:bCs/>
          <w:sz w:val="22"/>
          <w:szCs w:val="22"/>
        </w:rPr>
        <w:t>Reflektor</w:t>
      </w:r>
      <w:r w:rsidR="00333B24">
        <w:rPr>
          <w:rFonts w:ascii="Arial" w:hAnsi="Arial" w:cs="Arial"/>
          <w:b/>
          <w:bCs/>
          <w:sz w:val="22"/>
          <w:szCs w:val="22"/>
        </w:rPr>
        <w:t>optiken</w:t>
      </w:r>
      <w:r w:rsidR="00033CFF">
        <w:rPr>
          <w:rFonts w:ascii="Arial" w:hAnsi="Arial" w:cs="Arial"/>
          <w:b/>
          <w:bCs/>
          <w:sz w:val="22"/>
          <w:szCs w:val="22"/>
        </w:rPr>
        <w:t xml:space="preserve"> bieten</w:t>
      </w:r>
      <w:r w:rsidR="00DC6203">
        <w:rPr>
          <w:rFonts w:ascii="Arial" w:hAnsi="Arial" w:cs="Arial"/>
          <w:b/>
          <w:bCs/>
          <w:sz w:val="22"/>
          <w:szCs w:val="22"/>
        </w:rPr>
        <w:t xml:space="preserve"> eine besonders hohe Entblendung und damit </w:t>
      </w:r>
      <w:r w:rsidR="00CB6B19">
        <w:rPr>
          <w:rFonts w:ascii="Arial" w:hAnsi="Arial" w:cs="Arial"/>
          <w:b/>
          <w:bCs/>
          <w:sz w:val="22"/>
          <w:szCs w:val="22"/>
        </w:rPr>
        <w:t>stets</w:t>
      </w:r>
      <w:r w:rsidR="00F93CDD">
        <w:rPr>
          <w:rFonts w:ascii="Arial" w:hAnsi="Arial" w:cs="Arial"/>
          <w:b/>
          <w:bCs/>
          <w:sz w:val="22"/>
          <w:szCs w:val="22"/>
        </w:rPr>
        <w:t xml:space="preserve"> </w:t>
      </w:r>
      <w:r w:rsidR="00033CFF">
        <w:rPr>
          <w:rFonts w:ascii="Arial" w:hAnsi="Arial" w:cs="Arial"/>
          <w:b/>
          <w:bCs/>
          <w:sz w:val="22"/>
          <w:szCs w:val="22"/>
        </w:rPr>
        <w:t xml:space="preserve">eine </w:t>
      </w:r>
      <w:r w:rsidR="00F93CDD">
        <w:rPr>
          <w:rFonts w:ascii="Arial" w:hAnsi="Arial" w:cs="Arial"/>
          <w:b/>
          <w:bCs/>
          <w:sz w:val="22"/>
          <w:szCs w:val="22"/>
        </w:rPr>
        <w:t>angenehm</w:t>
      </w:r>
      <w:r w:rsidR="00333B24">
        <w:rPr>
          <w:rFonts w:ascii="Arial" w:hAnsi="Arial" w:cs="Arial"/>
          <w:b/>
          <w:bCs/>
          <w:sz w:val="22"/>
          <w:szCs w:val="22"/>
        </w:rPr>
        <w:t xml:space="preserve"> komfortable</w:t>
      </w:r>
      <w:r w:rsidR="00033CFF">
        <w:rPr>
          <w:rFonts w:ascii="Arial" w:hAnsi="Arial" w:cs="Arial"/>
          <w:b/>
          <w:bCs/>
          <w:sz w:val="22"/>
          <w:szCs w:val="22"/>
        </w:rPr>
        <w:t xml:space="preserve"> Beleuchtung. </w:t>
      </w:r>
      <w:r w:rsidR="00D571A1" w:rsidRPr="00D571A1">
        <w:rPr>
          <w:rFonts w:ascii="Arial" w:hAnsi="Arial" w:cs="Arial"/>
          <w:b/>
          <w:bCs/>
          <w:sz w:val="22"/>
          <w:szCs w:val="22"/>
        </w:rPr>
        <w:t>Die glatte</w:t>
      </w:r>
      <w:r w:rsidR="00033CFF">
        <w:rPr>
          <w:rFonts w:ascii="Arial" w:hAnsi="Arial" w:cs="Arial"/>
          <w:b/>
          <w:bCs/>
          <w:sz w:val="22"/>
          <w:szCs w:val="22"/>
        </w:rPr>
        <w:t>n,</w:t>
      </w:r>
      <w:r w:rsidR="00D571A1" w:rsidRPr="00D571A1">
        <w:rPr>
          <w:rFonts w:ascii="Arial" w:hAnsi="Arial" w:cs="Arial"/>
          <w:b/>
          <w:bCs/>
          <w:sz w:val="22"/>
          <w:szCs w:val="22"/>
        </w:rPr>
        <w:t xml:space="preserve"> </w:t>
      </w:r>
      <w:r w:rsidR="00E0052D">
        <w:rPr>
          <w:rFonts w:ascii="Arial" w:hAnsi="Arial" w:cs="Arial"/>
          <w:b/>
          <w:bCs/>
          <w:sz w:val="22"/>
          <w:szCs w:val="22"/>
        </w:rPr>
        <w:t>weiße</w:t>
      </w:r>
      <w:r w:rsidR="00033CFF">
        <w:rPr>
          <w:rFonts w:ascii="Arial" w:hAnsi="Arial" w:cs="Arial"/>
          <w:b/>
          <w:bCs/>
          <w:sz w:val="22"/>
          <w:szCs w:val="22"/>
        </w:rPr>
        <w:t>n</w:t>
      </w:r>
      <w:r w:rsidR="00E0052D">
        <w:rPr>
          <w:rFonts w:ascii="Arial" w:hAnsi="Arial" w:cs="Arial"/>
          <w:b/>
          <w:bCs/>
          <w:sz w:val="22"/>
          <w:szCs w:val="22"/>
        </w:rPr>
        <w:t xml:space="preserve"> </w:t>
      </w:r>
      <w:r w:rsidR="00AE3602" w:rsidRPr="00D571A1">
        <w:rPr>
          <w:rFonts w:ascii="Arial" w:hAnsi="Arial" w:cs="Arial"/>
          <w:b/>
          <w:bCs/>
          <w:sz w:val="22"/>
          <w:szCs w:val="22"/>
        </w:rPr>
        <w:t>Oberfläche</w:t>
      </w:r>
      <w:r w:rsidR="00033CFF">
        <w:rPr>
          <w:rFonts w:ascii="Arial" w:hAnsi="Arial" w:cs="Arial"/>
          <w:b/>
          <w:bCs/>
          <w:sz w:val="22"/>
          <w:szCs w:val="22"/>
        </w:rPr>
        <w:t xml:space="preserve">n </w:t>
      </w:r>
      <w:r w:rsidR="00D571A1" w:rsidRPr="00D571A1">
        <w:rPr>
          <w:rFonts w:ascii="Arial" w:hAnsi="Arial" w:cs="Arial"/>
          <w:b/>
          <w:bCs/>
          <w:sz w:val="22"/>
          <w:szCs w:val="22"/>
        </w:rPr>
        <w:t xml:space="preserve">verleihen der Leuchtenfamilie </w:t>
      </w:r>
      <w:r w:rsidR="00033CFF">
        <w:rPr>
          <w:rFonts w:ascii="Arial" w:hAnsi="Arial" w:cs="Arial"/>
          <w:b/>
          <w:bCs/>
          <w:sz w:val="22"/>
          <w:szCs w:val="22"/>
        </w:rPr>
        <w:t xml:space="preserve">im Zusammenspiel mit den Reflektoren </w:t>
      </w:r>
      <w:r w:rsidR="00D571A1" w:rsidRPr="00D571A1">
        <w:rPr>
          <w:rFonts w:ascii="Arial" w:hAnsi="Arial" w:cs="Arial"/>
          <w:b/>
          <w:bCs/>
          <w:sz w:val="22"/>
          <w:szCs w:val="22"/>
        </w:rPr>
        <w:t>ein</w:t>
      </w:r>
      <w:r w:rsidR="00333B24">
        <w:rPr>
          <w:rFonts w:ascii="Arial" w:hAnsi="Arial" w:cs="Arial"/>
          <w:b/>
          <w:bCs/>
          <w:sz w:val="22"/>
          <w:szCs w:val="22"/>
        </w:rPr>
        <w:t xml:space="preserve"> klares Erscheinungsbild </w:t>
      </w:r>
      <w:r w:rsidR="00D571A1" w:rsidRPr="00D571A1">
        <w:rPr>
          <w:rFonts w:ascii="Arial" w:hAnsi="Arial" w:cs="Arial"/>
          <w:b/>
          <w:bCs/>
          <w:sz w:val="22"/>
          <w:szCs w:val="22"/>
        </w:rPr>
        <w:t xml:space="preserve">und </w:t>
      </w:r>
      <w:r w:rsidR="00AE3602">
        <w:rPr>
          <w:rFonts w:ascii="Arial" w:hAnsi="Arial" w:cs="Arial"/>
          <w:b/>
          <w:bCs/>
          <w:sz w:val="22"/>
          <w:szCs w:val="22"/>
        </w:rPr>
        <w:t xml:space="preserve">passen mit ihren </w:t>
      </w:r>
      <w:r w:rsidR="00AE3602" w:rsidRPr="00CE5F21">
        <w:rPr>
          <w:rFonts w:ascii="Arial" w:hAnsi="Arial" w:cs="Arial"/>
          <w:b/>
          <w:bCs/>
          <w:sz w:val="22"/>
          <w:szCs w:val="22"/>
        </w:rPr>
        <w:t>symmetrischen Formen in jeden</w:t>
      </w:r>
      <w:r w:rsidR="00200B69" w:rsidRPr="00CE5F21">
        <w:rPr>
          <w:rFonts w:ascii="Arial" w:hAnsi="Arial" w:cs="Arial"/>
          <w:b/>
          <w:bCs/>
          <w:sz w:val="22"/>
          <w:szCs w:val="22"/>
        </w:rPr>
        <w:t xml:space="preserve"> modern</w:t>
      </w:r>
      <w:r w:rsidR="00D81367" w:rsidRPr="00CE5F21">
        <w:rPr>
          <w:rFonts w:ascii="Arial" w:hAnsi="Arial" w:cs="Arial"/>
          <w:b/>
          <w:bCs/>
          <w:sz w:val="22"/>
          <w:szCs w:val="22"/>
        </w:rPr>
        <w:t xml:space="preserve">en </w:t>
      </w:r>
      <w:r w:rsidR="00D571A1" w:rsidRPr="00CE5F21">
        <w:rPr>
          <w:rFonts w:ascii="Arial" w:hAnsi="Arial" w:cs="Arial"/>
          <w:b/>
          <w:bCs/>
          <w:sz w:val="22"/>
          <w:szCs w:val="22"/>
        </w:rPr>
        <w:t xml:space="preserve">Innenraum. </w:t>
      </w:r>
    </w:p>
    <w:p w14:paraId="71116F28" w14:textId="6AFDD1DA" w:rsidR="002D2BA8" w:rsidRPr="00CE5F21" w:rsidRDefault="00EC5F0F" w:rsidP="00851D2B">
      <w:pPr>
        <w:spacing w:after="120" w:line="360" w:lineRule="auto"/>
        <w:jc w:val="both"/>
        <w:rPr>
          <w:rFonts w:ascii="Arial" w:hAnsi="Arial" w:cs="Arial"/>
          <w:sz w:val="22"/>
          <w:szCs w:val="22"/>
        </w:rPr>
      </w:pPr>
      <w:r>
        <w:rPr>
          <w:rFonts w:ascii="Arial" w:hAnsi="Arial" w:cs="Arial"/>
          <w:sz w:val="22"/>
          <w:szCs w:val="22"/>
        </w:rPr>
        <w:t xml:space="preserve">Eine hohe Entblendung bei der Beleuchtung </w:t>
      </w:r>
      <w:r w:rsidR="00851D2B">
        <w:rPr>
          <w:rFonts w:ascii="Arial" w:hAnsi="Arial" w:cs="Arial"/>
          <w:sz w:val="22"/>
          <w:szCs w:val="22"/>
        </w:rPr>
        <w:t>ist wichtig</w:t>
      </w:r>
      <w:r w:rsidR="0051408D">
        <w:rPr>
          <w:rFonts w:ascii="Arial" w:hAnsi="Arial" w:cs="Arial"/>
          <w:sz w:val="22"/>
          <w:szCs w:val="22"/>
        </w:rPr>
        <w:t xml:space="preserve">, damit das künstliche Licht nicht als zu hell </w:t>
      </w:r>
      <w:r w:rsidR="00851D2B">
        <w:rPr>
          <w:rFonts w:ascii="Arial" w:hAnsi="Arial" w:cs="Arial"/>
          <w:sz w:val="22"/>
          <w:szCs w:val="22"/>
        </w:rPr>
        <w:t>und damit als</w:t>
      </w:r>
      <w:r w:rsidR="0051408D">
        <w:rPr>
          <w:rFonts w:ascii="Arial" w:hAnsi="Arial" w:cs="Arial"/>
          <w:sz w:val="22"/>
          <w:szCs w:val="22"/>
        </w:rPr>
        <w:t xml:space="preserve"> störend empfunden wird. Daher ist der Einsatz von Reflektoroptiken wie bei der C77-Leuchtenfamilie </w:t>
      </w:r>
      <w:r w:rsidR="00CE5F21" w:rsidRPr="00CE5F21">
        <w:rPr>
          <w:rFonts w:ascii="Arial" w:hAnsi="Arial" w:cs="Arial"/>
          <w:sz w:val="22"/>
          <w:szCs w:val="22"/>
        </w:rPr>
        <w:t xml:space="preserve">eine ausgezeichnete Wahl </w:t>
      </w:r>
      <w:r w:rsidR="00851D2B">
        <w:rPr>
          <w:rFonts w:ascii="Arial" w:hAnsi="Arial" w:cs="Arial"/>
          <w:sz w:val="22"/>
          <w:szCs w:val="22"/>
        </w:rPr>
        <w:t>für eine angenehme Beleuchtung in Büroräumen oder im</w:t>
      </w:r>
      <w:r w:rsidR="00CE5F21" w:rsidRPr="00CE5F21">
        <w:rPr>
          <w:rFonts w:ascii="Arial" w:hAnsi="Arial" w:cs="Arial"/>
          <w:sz w:val="22"/>
          <w:szCs w:val="22"/>
        </w:rPr>
        <w:t xml:space="preserve"> Bildungswesen. </w:t>
      </w:r>
      <w:r w:rsidR="0046490E">
        <w:rPr>
          <w:rFonts w:ascii="Arial" w:hAnsi="Arial" w:cs="Arial"/>
          <w:sz w:val="22"/>
          <w:szCs w:val="22"/>
        </w:rPr>
        <w:t xml:space="preserve">Die Beleuchtung sorgt für ein behagliches Gefühl </w:t>
      </w:r>
      <w:r>
        <w:rPr>
          <w:rFonts w:ascii="Arial" w:hAnsi="Arial" w:cs="Arial"/>
          <w:sz w:val="22"/>
          <w:szCs w:val="22"/>
        </w:rPr>
        <w:t>bei den Anwendern</w:t>
      </w:r>
      <w:r w:rsidR="00CE5F21">
        <w:rPr>
          <w:rFonts w:ascii="Arial" w:hAnsi="Arial" w:cs="Arial"/>
          <w:sz w:val="22"/>
          <w:szCs w:val="22"/>
        </w:rPr>
        <w:t xml:space="preserve"> </w:t>
      </w:r>
      <w:r w:rsidR="0046490E">
        <w:rPr>
          <w:rFonts w:ascii="Arial" w:hAnsi="Arial" w:cs="Arial"/>
          <w:sz w:val="22"/>
          <w:szCs w:val="22"/>
        </w:rPr>
        <w:t xml:space="preserve">und </w:t>
      </w:r>
      <w:r w:rsidR="00534A4C">
        <w:rPr>
          <w:rFonts w:ascii="Arial" w:hAnsi="Arial" w:cs="Arial"/>
          <w:sz w:val="22"/>
          <w:szCs w:val="22"/>
        </w:rPr>
        <w:t>bietet</w:t>
      </w:r>
      <w:r w:rsidR="0046490E">
        <w:rPr>
          <w:rFonts w:ascii="Arial" w:hAnsi="Arial" w:cs="Arial"/>
          <w:sz w:val="22"/>
          <w:szCs w:val="22"/>
        </w:rPr>
        <w:t xml:space="preserve"> einen optimalen Sehkomfort.</w:t>
      </w:r>
      <w:r w:rsidR="00CE5F21" w:rsidRPr="00CE5F21">
        <w:rPr>
          <w:rFonts w:ascii="Arial" w:hAnsi="Arial" w:cs="Arial"/>
          <w:sz w:val="22"/>
          <w:szCs w:val="22"/>
        </w:rPr>
        <w:t xml:space="preserve"> Der Einsatz </w:t>
      </w:r>
      <w:r w:rsidR="0046490E">
        <w:rPr>
          <w:rFonts w:ascii="Arial" w:hAnsi="Arial" w:cs="Arial"/>
          <w:sz w:val="22"/>
          <w:szCs w:val="22"/>
        </w:rPr>
        <w:t xml:space="preserve">einer Tuneable </w:t>
      </w:r>
      <w:proofErr w:type="spellStart"/>
      <w:r w:rsidR="0046490E">
        <w:rPr>
          <w:rFonts w:ascii="Arial" w:hAnsi="Arial" w:cs="Arial"/>
          <w:sz w:val="22"/>
          <w:szCs w:val="22"/>
        </w:rPr>
        <w:t>white</w:t>
      </w:r>
      <w:proofErr w:type="spellEnd"/>
      <w:r w:rsidR="0046490E">
        <w:rPr>
          <w:rFonts w:ascii="Arial" w:hAnsi="Arial" w:cs="Arial"/>
          <w:sz w:val="22"/>
          <w:szCs w:val="22"/>
        </w:rPr>
        <w:t>-Technologie</w:t>
      </w:r>
      <w:r w:rsidR="00CE5F21" w:rsidRPr="00CE5F21">
        <w:rPr>
          <w:rFonts w:ascii="Arial" w:hAnsi="Arial" w:cs="Arial"/>
          <w:sz w:val="22"/>
          <w:szCs w:val="22"/>
        </w:rPr>
        <w:t xml:space="preserve"> kann </w:t>
      </w:r>
      <w:r w:rsidRPr="00CE5F21">
        <w:rPr>
          <w:rFonts w:ascii="Arial" w:hAnsi="Arial" w:cs="Arial"/>
          <w:sz w:val="22"/>
          <w:szCs w:val="22"/>
        </w:rPr>
        <w:t>darüber</w:t>
      </w:r>
      <w:r w:rsidR="00CE5F21" w:rsidRPr="00CE5F21">
        <w:rPr>
          <w:rFonts w:ascii="Arial" w:hAnsi="Arial" w:cs="Arial"/>
          <w:sz w:val="22"/>
          <w:szCs w:val="22"/>
        </w:rPr>
        <w:t xml:space="preserve"> hinaus das Gesamtambiente</w:t>
      </w:r>
      <w:r w:rsidR="00CE5F21">
        <w:rPr>
          <w:rFonts w:ascii="Arial" w:hAnsi="Arial" w:cs="Arial"/>
          <w:sz w:val="22"/>
          <w:szCs w:val="22"/>
        </w:rPr>
        <w:t xml:space="preserve"> </w:t>
      </w:r>
      <w:r w:rsidR="00CE5F21" w:rsidRPr="00CE5F21">
        <w:rPr>
          <w:rFonts w:ascii="Arial" w:hAnsi="Arial" w:cs="Arial"/>
          <w:sz w:val="22"/>
          <w:szCs w:val="22"/>
        </w:rPr>
        <w:t xml:space="preserve">eines Raumes verbessern, die Konzentration </w:t>
      </w:r>
      <w:r w:rsidRPr="00CE5F21">
        <w:rPr>
          <w:rFonts w:ascii="Arial" w:hAnsi="Arial" w:cs="Arial"/>
          <w:sz w:val="22"/>
          <w:szCs w:val="22"/>
        </w:rPr>
        <w:t>f</w:t>
      </w:r>
      <w:r>
        <w:rPr>
          <w:rFonts w:ascii="Arial" w:hAnsi="Arial" w:cs="Arial"/>
          <w:sz w:val="22"/>
          <w:szCs w:val="22"/>
        </w:rPr>
        <w:t>ö</w:t>
      </w:r>
      <w:r w:rsidRPr="00CE5F21">
        <w:rPr>
          <w:rFonts w:ascii="Arial" w:hAnsi="Arial" w:cs="Arial"/>
          <w:sz w:val="22"/>
          <w:szCs w:val="22"/>
        </w:rPr>
        <w:t>rdern</w:t>
      </w:r>
      <w:r w:rsidR="00CE5F21" w:rsidRPr="00CE5F21">
        <w:rPr>
          <w:rFonts w:ascii="Arial" w:hAnsi="Arial" w:cs="Arial"/>
          <w:sz w:val="22"/>
          <w:szCs w:val="22"/>
        </w:rPr>
        <w:t xml:space="preserve"> und sogar die </w:t>
      </w:r>
      <w:r w:rsidRPr="00CE5F21">
        <w:rPr>
          <w:rFonts w:ascii="Arial" w:hAnsi="Arial" w:cs="Arial"/>
          <w:sz w:val="22"/>
          <w:szCs w:val="22"/>
        </w:rPr>
        <w:t>Produktivität</w:t>
      </w:r>
      <w:r w:rsidR="00CE5F21" w:rsidRPr="00CE5F21">
        <w:rPr>
          <w:rFonts w:ascii="Arial" w:hAnsi="Arial" w:cs="Arial"/>
          <w:sz w:val="22"/>
          <w:szCs w:val="22"/>
        </w:rPr>
        <w:t xml:space="preserve"> steigern. </w:t>
      </w:r>
    </w:p>
    <w:p w14:paraId="0FD77A88" w14:textId="41726D89" w:rsidR="00084CDC" w:rsidRPr="004F5A9A" w:rsidRDefault="004951C5" w:rsidP="00851D2B">
      <w:pPr>
        <w:spacing w:after="120" w:line="360" w:lineRule="auto"/>
        <w:jc w:val="both"/>
        <w:rPr>
          <w:rFonts w:ascii="Arial" w:hAnsi="Arial" w:cs="Arial"/>
          <w:b/>
          <w:bCs/>
          <w:sz w:val="22"/>
          <w:szCs w:val="22"/>
        </w:rPr>
      </w:pPr>
      <w:r w:rsidRPr="004F5A9A">
        <w:rPr>
          <w:rFonts w:ascii="Arial" w:hAnsi="Arial" w:cs="Arial"/>
          <w:b/>
          <w:bCs/>
          <w:sz w:val="22"/>
          <w:szCs w:val="22"/>
        </w:rPr>
        <w:t xml:space="preserve">Hohe </w:t>
      </w:r>
      <w:r w:rsidR="00084CDC" w:rsidRPr="004F5A9A">
        <w:rPr>
          <w:rFonts w:ascii="Arial" w:hAnsi="Arial" w:cs="Arial"/>
          <w:b/>
          <w:bCs/>
          <w:sz w:val="22"/>
          <w:szCs w:val="22"/>
        </w:rPr>
        <w:t xml:space="preserve">Lichtqualität </w:t>
      </w:r>
      <w:r w:rsidRPr="004F5A9A">
        <w:rPr>
          <w:rFonts w:ascii="Arial" w:hAnsi="Arial" w:cs="Arial"/>
          <w:b/>
          <w:bCs/>
          <w:sz w:val="22"/>
          <w:szCs w:val="22"/>
        </w:rPr>
        <w:t>und Entblendung</w:t>
      </w:r>
    </w:p>
    <w:p w14:paraId="6C8CE956" w14:textId="4688EE4B" w:rsidR="00B3479B" w:rsidRDefault="00084CDC" w:rsidP="00851D2B">
      <w:pPr>
        <w:spacing w:after="120" w:line="360" w:lineRule="auto"/>
        <w:jc w:val="both"/>
        <w:rPr>
          <w:rFonts w:ascii="Arial" w:hAnsi="Arial" w:cs="Arial"/>
          <w:sz w:val="22"/>
          <w:szCs w:val="22"/>
        </w:rPr>
      </w:pPr>
      <w:r w:rsidRPr="00084CDC">
        <w:rPr>
          <w:rFonts w:ascii="Arial" w:hAnsi="Arial" w:cs="Arial"/>
          <w:sz w:val="22"/>
          <w:szCs w:val="22"/>
        </w:rPr>
        <w:t>Die Reflektoroptiken der C77</w:t>
      </w:r>
      <w:r w:rsidR="004951C5">
        <w:rPr>
          <w:rFonts w:ascii="Arial" w:hAnsi="Arial" w:cs="Arial"/>
          <w:sz w:val="22"/>
          <w:szCs w:val="22"/>
        </w:rPr>
        <w:t>-Serie</w:t>
      </w:r>
      <w:r w:rsidRPr="00084CDC">
        <w:rPr>
          <w:rFonts w:ascii="Arial" w:hAnsi="Arial" w:cs="Arial"/>
          <w:sz w:val="22"/>
          <w:szCs w:val="22"/>
        </w:rPr>
        <w:t xml:space="preserve"> sind </w:t>
      </w:r>
      <w:r w:rsidR="004951C5">
        <w:rPr>
          <w:rFonts w:ascii="Arial" w:hAnsi="Arial" w:cs="Arial"/>
          <w:sz w:val="22"/>
          <w:szCs w:val="22"/>
        </w:rPr>
        <w:t xml:space="preserve">je nach Leuchtenvariante </w:t>
      </w:r>
      <w:r w:rsidRPr="00084CDC">
        <w:rPr>
          <w:rFonts w:ascii="Arial" w:hAnsi="Arial" w:cs="Arial"/>
          <w:sz w:val="22"/>
          <w:szCs w:val="22"/>
        </w:rPr>
        <w:t>symmetrisch in Reihen oder quadratischen Formen angeordnet, die an Gruppe</w:t>
      </w:r>
      <w:r w:rsidR="004951C5">
        <w:rPr>
          <w:rFonts w:ascii="Arial" w:hAnsi="Arial" w:cs="Arial"/>
          <w:sz w:val="22"/>
          <w:szCs w:val="22"/>
        </w:rPr>
        <w:t>n</w:t>
      </w:r>
      <w:r w:rsidRPr="00084CDC">
        <w:rPr>
          <w:rFonts w:ascii="Arial" w:hAnsi="Arial" w:cs="Arial"/>
          <w:sz w:val="22"/>
          <w:szCs w:val="22"/>
        </w:rPr>
        <w:t xml:space="preserve"> von Downlights erinnern. Der Diffusor der Leuchte</w:t>
      </w:r>
      <w:r w:rsidR="004F5A9A">
        <w:rPr>
          <w:rFonts w:ascii="Arial" w:hAnsi="Arial" w:cs="Arial"/>
          <w:sz w:val="22"/>
          <w:szCs w:val="22"/>
        </w:rPr>
        <w:t>n</w:t>
      </w:r>
      <w:r w:rsidRPr="00084CDC">
        <w:rPr>
          <w:rFonts w:ascii="Arial" w:hAnsi="Arial" w:cs="Arial"/>
          <w:sz w:val="22"/>
          <w:szCs w:val="22"/>
        </w:rPr>
        <w:t xml:space="preserve"> reduziert im Zusammenspiel mit den metallisierten Reflektoren die Blendung </w:t>
      </w:r>
      <w:r w:rsidR="004F5A9A">
        <w:rPr>
          <w:rFonts w:ascii="Arial" w:hAnsi="Arial" w:cs="Arial"/>
          <w:sz w:val="22"/>
          <w:szCs w:val="22"/>
        </w:rPr>
        <w:t xml:space="preserve">der leistungsstarken LEDs </w:t>
      </w:r>
      <w:r w:rsidRPr="00084CDC">
        <w:rPr>
          <w:rFonts w:ascii="Arial" w:hAnsi="Arial" w:cs="Arial"/>
          <w:sz w:val="22"/>
          <w:szCs w:val="22"/>
        </w:rPr>
        <w:t xml:space="preserve">nicht nur bei direktem Licht, sondern auch aus </w:t>
      </w:r>
      <w:r w:rsidR="004F5A9A">
        <w:rPr>
          <w:rFonts w:ascii="Arial" w:hAnsi="Arial" w:cs="Arial"/>
          <w:sz w:val="22"/>
          <w:szCs w:val="22"/>
        </w:rPr>
        <w:t>anderen</w:t>
      </w:r>
      <w:r w:rsidRPr="00084CDC">
        <w:rPr>
          <w:rFonts w:ascii="Arial" w:hAnsi="Arial" w:cs="Arial"/>
          <w:sz w:val="22"/>
          <w:szCs w:val="22"/>
        </w:rPr>
        <w:t xml:space="preserve"> Blickwinkeln im </w:t>
      </w:r>
      <w:r w:rsidR="004F5A9A">
        <w:rPr>
          <w:rFonts w:ascii="Arial" w:hAnsi="Arial" w:cs="Arial"/>
          <w:sz w:val="22"/>
          <w:szCs w:val="22"/>
        </w:rPr>
        <w:t>Raum</w:t>
      </w:r>
      <w:r w:rsidRPr="00084CDC">
        <w:rPr>
          <w:rFonts w:ascii="Arial" w:hAnsi="Arial" w:cs="Arial"/>
          <w:sz w:val="22"/>
          <w:szCs w:val="22"/>
        </w:rPr>
        <w:t xml:space="preserve">. </w:t>
      </w:r>
      <w:r w:rsidR="004F5A9A">
        <w:rPr>
          <w:rFonts w:ascii="Arial" w:hAnsi="Arial" w:cs="Arial"/>
          <w:sz w:val="22"/>
          <w:szCs w:val="22"/>
        </w:rPr>
        <w:t xml:space="preserve">Somit wird </w:t>
      </w:r>
      <w:r w:rsidRPr="00084CDC">
        <w:rPr>
          <w:rFonts w:ascii="Arial" w:hAnsi="Arial" w:cs="Arial"/>
          <w:sz w:val="22"/>
          <w:szCs w:val="22"/>
        </w:rPr>
        <w:t>eine hervorragende Lichtqualität</w:t>
      </w:r>
      <w:r w:rsidR="00634BF2">
        <w:rPr>
          <w:rFonts w:ascii="Arial" w:hAnsi="Arial" w:cs="Arial"/>
          <w:sz w:val="22"/>
          <w:szCs w:val="22"/>
        </w:rPr>
        <w:t xml:space="preserve"> mit hoher</w:t>
      </w:r>
      <w:r w:rsidRPr="00084CDC">
        <w:rPr>
          <w:rFonts w:ascii="Arial" w:hAnsi="Arial" w:cs="Arial"/>
          <w:sz w:val="22"/>
          <w:szCs w:val="22"/>
        </w:rPr>
        <w:t xml:space="preserve"> Lichtausbeute </w:t>
      </w:r>
      <w:r w:rsidR="00634BF2">
        <w:rPr>
          <w:rFonts w:ascii="Arial" w:hAnsi="Arial" w:cs="Arial"/>
          <w:sz w:val="22"/>
          <w:szCs w:val="22"/>
        </w:rPr>
        <w:t>bei gleichzeitig sehr geringen</w:t>
      </w:r>
      <w:r w:rsidRPr="00084CDC">
        <w:rPr>
          <w:rFonts w:ascii="Arial" w:hAnsi="Arial" w:cs="Arial"/>
          <w:sz w:val="22"/>
          <w:szCs w:val="22"/>
        </w:rPr>
        <w:t xml:space="preserve"> Blendwerten</w:t>
      </w:r>
      <w:r w:rsidR="004F5A9A">
        <w:rPr>
          <w:rFonts w:ascii="Arial" w:hAnsi="Arial" w:cs="Arial"/>
          <w:sz w:val="22"/>
          <w:szCs w:val="22"/>
        </w:rPr>
        <w:t xml:space="preserve"> erzielt</w:t>
      </w:r>
      <w:r w:rsidRPr="00084CDC">
        <w:rPr>
          <w:rFonts w:ascii="Arial" w:hAnsi="Arial" w:cs="Arial"/>
          <w:sz w:val="22"/>
          <w:szCs w:val="22"/>
        </w:rPr>
        <w:t xml:space="preserve">. </w:t>
      </w:r>
      <w:r w:rsidR="00333B24">
        <w:rPr>
          <w:rFonts w:ascii="Arial" w:hAnsi="Arial" w:cs="Arial"/>
          <w:sz w:val="22"/>
          <w:szCs w:val="22"/>
        </w:rPr>
        <w:t xml:space="preserve">Die </w:t>
      </w:r>
      <w:r w:rsidRPr="00084CDC">
        <w:rPr>
          <w:rFonts w:ascii="Arial" w:hAnsi="Arial" w:cs="Arial"/>
          <w:sz w:val="22"/>
          <w:szCs w:val="22"/>
        </w:rPr>
        <w:t xml:space="preserve">Standard-Farbtemperaturen sind </w:t>
      </w:r>
      <w:r w:rsidR="00B3479B">
        <w:rPr>
          <w:rFonts w:ascii="Arial" w:hAnsi="Arial" w:cs="Arial"/>
          <w:sz w:val="22"/>
          <w:szCs w:val="22"/>
        </w:rPr>
        <w:t xml:space="preserve">mit </w:t>
      </w:r>
      <w:r w:rsidRPr="00084CDC">
        <w:rPr>
          <w:rFonts w:ascii="Arial" w:hAnsi="Arial" w:cs="Arial"/>
          <w:sz w:val="22"/>
          <w:szCs w:val="22"/>
        </w:rPr>
        <w:t>3000 K und 4000 K</w:t>
      </w:r>
      <w:r w:rsidR="00B3479B">
        <w:rPr>
          <w:rFonts w:ascii="Arial" w:hAnsi="Arial" w:cs="Arial"/>
          <w:sz w:val="22"/>
          <w:szCs w:val="22"/>
        </w:rPr>
        <w:t xml:space="preserve"> </w:t>
      </w:r>
      <w:r w:rsidR="00333B24">
        <w:rPr>
          <w:rFonts w:ascii="Arial" w:hAnsi="Arial" w:cs="Arial"/>
          <w:sz w:val="22"/>
          <w:szCs w:val="22"/>
        </w:rPr>
        <w:t>definiert</w:t>
      </w:r>
      <w:r w:rsidR="00B3479B">
        <w:rPr>
          <w:rFonts w:ascii="Arial" w:hAnsi="Arial" w:cs="Arial"/>
          <w:sz w:val="22"/>
          <w:szCs w:val="22"/>
        </w:rPr>
        <w:t>. Optional sind</w:t>
      </w:r>
      <w:r w:rsidRPr="00084CDC">
        <w:rPr>
          <w:rFonts w:ascii="Arial" w:hAnsi="Arial" w:cs="Arial"/>
          <w:sz w:val="22"/>
          <w:szCs w:val="22"/>
        </w:rPr>
        <w:t xml:space="preserve"> </w:t>
      </w:r>
      <w:r w:rsidR="00625C2A">
        <w:rPr>
          <w:rFonts w:ascii="Arial" w:hAnsi="Arial" w:cs="Arial"/>
          <w:sz w:val="22"/>
          <w:szCs w:val="22"/>
        </w:rPr>
        <w:t>T</w:t>
      </w:r>
      <w:r w:rsidRPr="00084CDC">
        <w:rPr>
          <w:rFonts w:ascii="Arial" w:hAnsi="Arial" w:cs="Arial"/>
          <w:sz w:val="22"/>
          <w:szCs w:val="22"/>
        </w:rPr>
        <w:t>un</w:t>
      </w:r>
      <w:r w:rsidR="00FD5EB2">
        <w:rPr>
          <w:rFonts w:ascii="Arial" w:hAnsi="Arial" w:cs="Arial"/>
          <w:sz w:val="22"/>
          <w:szCs w:val="22"/>
        </w:rPr>
        <w:t>e</w:t>
      </w:r>
      <w:r w:rsidRPr="00084CDC">
        <w:rPr>
          <w:rFonts w:ascii="Arial" w:hAnsi="Arial" w:cs="Arial"/>
          <w:sz w:val="22"/>
          <w:szCs w:val="22"/>
        </w:rPr>
        <w:t xml:space="preserve">able </w:t>
      </w:r>
      <w:r w:rsidR="00625C2A">
        <w:rPr>
          <w:rFonts w:ascii="Arial" w:hAnsi="Arial" w:cs="Arial"/>
          <w:sz w:val="22"/>
          <w:szCs w:val="22"/>
        </w:rPr>
        <w:t>W</w:t>
      </w:r>
      <w:r w:rsidRPr="00084CDC">
        <w:rPr>
          <w:rFonts w:ascii="Arial" w:hAnsi="Arial" w:cs="Arial"/>
          <w:sz w:val="22"/>
          <w:szCs w:val="22"/>
        </w:rPr>
        <w:t xml:space="preserve">hite-Versionen </w:t>
      </w:r>
      <w:r w:rsidR="00333B24">
        <w:rPr>
          <w:rFonts w:ascii="Arial" w:hAnsi="Arial" w:cs="Arial"/>
          <w:sz w:val="22"/>
          <w:szCs w:val="22"/>
        </w:rPr>
        <w:t xml:space="preserve">bei der C77-Leuchtenfamilie </w:t>
      </w:r>
      <w:r w:rsidR="006A7605" w:rsidRPr="00084CDC">
        <w:rPr>
          <w:rFonts w:ascii="Arial" w:hAnsi="Arial" w:cs="Arial"/>
          <w:sz w:val="22"/>
          <w:szCs w:val="22"/>
        </w:rPr>
        <w:t>erhältlich</w:t>
      </w:r>
      <w:r w:rsidRPr="00084CDC">
        <w:rPr>
          <w:rFonts w:ascii="Arial" w:hAnsi="Arial" w:cs="Arial"/>
          <w:sz w:val="22"/>
          <w:szCs w:val="22"/>
        </w:rPr>
        <w:t xml:space="preserve">, mit denen das Wohlbefinden und die </w:t>
      </w:r>
      <w:r w:rsidR="006A7605" w:rsidRPr="00084CDC">
        <w:rPr>
          <w:rFonts w:ascii="Arial" w:hAnsi="Arial" w:cs="Arial"/>
          <w:sz w:val="22"/>
          <w:szCs w:val="22"/>
        </w:rPr>
        <w:t>Produktivität</w:t>
      </w:r>
      <w:r w:rsidRPr="00084CDC">
        <w:rPr>
          <w:rFonts w:ascii="Arial" w:hAnsi="Arial" w:cs="Arial"/>
          <w:sz w:val="22"/>
          <w:szCs w:val="22"/>
        </w:rPr>
        <w:t xml:space="preserve"> am Arbeitsplatz </w:t>
      </w:r>
      <w:r w:rsidR="00333B24">
        <w:rPr>
          <w:rFonts w:ascii="Arial" w:hAnsi="Arial" w:cs="Arial"/>
          <w:sz w:val="22"/>
          <w:szCs w:val="22"/>
        </w:rPr>
        <w:t xml:space="preserve">zusätzlich </w:t>
      </w:r>
      <w:r w:rsidR="00B3479B">
        <w:rPr>
          <w:rFonts w:ascii="Arial" w:hAnsi="Arial" w:cs="Arial"/>
          <w:sz w:val="22"/>
          <w:szCs w:val="22"/>
        </w:rPr>
        <w:t>optimiert</w:t>
      </w:r>
      <w:r w:rsidRPr="00084CDC">
        <w:rPr>
          <w:rFonts w:ascii="Arial" w:hAnsi="Arial" w:cs="Arial"/>
          <w:sz w:val="22"/>
          <w:szCs w:val="22"/>
        </w:rPr>
        <w:t xml:space="preserve"> werden </w:t>
      </w:r>
      <w:r w:rsidR="006A7605" w:rsidRPr="00084CDC">
        <w:rPr>
          <w:rFonts w:ascii="Arial" w:hAnsi="Arial" w:cs="Arial"/>
          <w:sz w:val="22"/>
          <w:szCs w:val="22"/>
        </w:rPr>
        <w:t>können</w:t>
      </w:r>
      <w:r w:rsidR="00B3479B">
        <w:rPr>
          <w:rFonts w:ascii="Arial" w:hAnsi="Arial" w:cs="Arial"/>
          <w:sz w:val="22"/>
          <w:szCs w:val="22"/>
        </w:rPr>
        <w:t>.</w:t>
      </w:r>
    </w:p>
    <w:p w14:paraId="7A823D65" w14:textId="10F130F0" w:rsidR="00626D34" w:rsidRPr="00707887" w:rsidRDefault="00626D34" w:rsidP="00851D2B">
      <w:pPr>
        <w:autoSpaceDE w:val="0"/>
        <w:autoSpaceDN w:val="0"/>
        <w:adjustRightInd w:val="0"/>
        <w:spacing w:after="120" w:line="360" w:lineRule="auto"/>
        <w:jc w:val="both"/>
        <w:rPr>
          <w:rFonts w:ascii="Arial" w:eastAsiaTheme="minorHAnsi" w:hAnsi="Arial" w:cs="Arial"/>
          <w:b/>
          <w:bCs/>
          <w:color w:val="000000"/>
          <w:sz w:val="22"/>
          <w:szCs w:val="22"/>
          <w:lang w:eastAsia="en-US"/>
        </w:rPr>
      </w:pPr>
      <w:r w:rsidRPr="00707887">
        <w:rPr>
          <w:rFonts w:ascii="Arial" w:eastAsiaTheme="minorHAnsi" w:hAnsi="Arial" w:cs="Arial"/>
          <w:b/>
          <w:bCs/>
          <w:color w:val="000000"/>
          <w:sz w:val="22"/>
          <w:szCs w:val="22"/>
          <w:lang w:eastAsia="en-US"/>
        </w:rPr>
        <w:lastRenderedPageBreak/>
        <w:t>Intelligente Beleuchtung</w:t>
      </w:r>
      <w:r w:rsidR="00E31848">
        <w:rPr>
          <w:rFonts w:ascii="Arial" w:eastAsiaTheme="minorHAnsi" w:hAnsi="Arial" w:cs="Arial"/>
          <w:b/>
          <w:bCs/>
          <w:color w:val="000000"/>
          <w:sz w:val="22"/>
          <w:szCs w:val="22"/>
          <w:lang w:eastAsia="en-US"/>
        </w:rPr>
        <w:t xml:space="preserve"> mit System</w:t>
      </w:r>
    </w:p>
    <w:p w14:paraId="14BD63C2" w14:textId="70C487A4" w:rsidR="00626D34" w:rsidRPr="00CA446A" w:rsidRDefault="00626D34" w:rsidP="00851D2B">
      <w:pPr>
        <w:autoSpaceDE w:val="0"/>
        <w:autoSpaceDN w:val="0"/>
        <w:adjustRightInd w:val="0"/>
        <w:spacing w:after="120" w:line="360" w:lineRule="auto"/>
        <w:jc w:val="both"/>
        <w:rPr>
          <w:rFonts w:ascii="Arial" w:eastAsiaTheme="minorHAnsi" w:hAnsi="Arial" w:cs="Arial"/>
          <w:color w:val="000000"/>
          <w:sz w:val="22"/>
          <w:szCs w:val="22"/>
          <w:lang w:eastAsia="en-US"/>
        </w:rPr>
      </w:pPr>
      <w:r w:rsidRPr="00CA446A">
        <w:rPr>
          <w:rFonts w:ascii="Arial" w:eastAsiaTheme="minorHAnsi" w:hAnsi="Arial" w:cs="Arial"/>
          <w:color w:val="000000"/>
          <w:sz w:val="22"/>
          <w:szCs w:val="22"/>
          <w:lang w:eastAsia="en-US"/>
        </w:rPr>
        <w:t>Durch die Kombination hochwertiger Leuchten mit intelligente</w:t>
      </w:r>
      <w:r w:rsidR="00AA4725">
        <w:rPr>
          <w:rFonts w:ascii="Arial" w:eastAsiaTheme="minorHAnsi" w:hAnsi="Arial" w:cs="Arial"/>
          <w:color w:val="000000"/>
          <w:sz w:val="22"/>
          <w:szCs w:val="22"/>
          <w:lang w:eastAsia="en-US"/>
        </w:rPr>
        <w:t>r</w:t>
      </w:r>
      <w:r w:rsidRPr="00CA446A">
        <w:rPr>
          <w:rFonts w:ascii="Arial" w:eastAsiaTheme="minorHAnsi" w:hAnsi="Arial" w:cs="Arial"/>
          <w:color w:val="000000"/>
          <w:sz w:val="22"/>
          <w:szCs w:val="22"/>
          <w:lang w:eastAsia="en-US"/>
        </w:rPr>
        <w:t xml:space="preserve"> Technologie </w:t>
      </w:r>
      <w:r w:rsidR="00707887">
        <w:rPr>
          <w:rFonts w:ascii="Arial" w:eastAsiaTheme="minorHAnsi" w:hAnsi="Arial" w:cs="Arial"/>
          <w:color w:val="000000"/>
          <w:sz w:val="22"/>
          <w:szCs w:val="22"/>
          <w:lang w:eastAsia="en-US"/>
        </w:rPr>
        <w:t>bietet Glamox</w:t>
      </w:r>
      <w:r w:rsidRPr="00CA446A">
        <w:rPr>
          <w:rFonts w:ascii="Arial" w:eastAsiaTheme="minorHAnsi" w:hAnsi="Arial" w:cs="Arial"/>
          <w:color w:val="000000"/>
          <w:sz w:val="22"/>
          <w:szCs w:val="22"/>
          <w:lang w:eastAsia="en-US"/>
        </w:rPr>
        <w:t xml:space="preserve"> Beleuchtungslösungen </w:t>
      </w:r>
      <w:r w:rsidR="00707887">
        <w:rPr>
          <w:rFonts w:ascii="Arial" w:eastAsiaTheme="minorHAnsi" w:hAnsi="Arial" w:cs="Arial"/>
          <w:color w:val="000000"/>
          <w:sz w:val="22"/>
          <w:szCs w:val="22"/>
          <w:lang w:eastAsia="en-US"/>
        </w:rPr>
        <w:t>an</w:t>
      </w:r>
      <w:r w:rsidRPr="00CA446A">
        <w:rPr>
          <w:rFonts w:ascii="Arial" w:eastAsiaTheme="minorHAnsi" w:hAnsi="Arial" w:cs="Arial"/>
          <w:color w:val="000000"/>
          <w:sz w:val="22"/>
          <w:szCs w:val="22"/>
          <w:lang w:eastAsia="en-US"/>
        </w:rPr>
        <w:t xml:space="preserve">, die </w:t>
      </w:r>
      <w:r w:rsidR="00707887">
        <w:rPr>
          <w:rFonts w:ascii="Arial" w:eastAsiaTheme="minorHAnsi" w:hAnsi="Arial" w:cs="Arial"/>
          <w:color w:val="000000"/>
          <w:sz w:val="22"/>
          <w:szCs w:val="22"/>
          <w:lang w:eastAsia="en-US"/>
        </w:rPr>
        <w:t xml:space="preserve">auf </w:t>
      </w:r>
      <w:r w:rsidRPr="00CA446A">
        <w:rPr>
          <w:rFonts w:ascii="Arial" w:eastAsiaTheme="minorHAnsi" w:hAnsi="Arial" w:cs="Arial"/>
          <w:color w:val="000000"/>
          <w:sz w:val="22"/>
          <w:szCs w:val="22"/>
          <w:lang w:eastAsia="en-US"/>
        </w:rPr>
        <w:t>individuelle</w:t>
      </w:r>
      <w:r w:rsidR="00707887">
        <w:rPr>
          <w:rFonts w:ascii="Arial" w:eastAsiaTheme="minorHAnsi" w:hAnsi="Arial" w:cs="Arial"/>
          <w:color w:val="000000"/>
          <w:sz w:val="22"/>
          <w:szCs w:val="22"/>
          <w:lang w:eastAsia="en-US"/>
        </w:rPr>
        <w:t xml:space="preserve"> Anforderungen</w:t>
      </w:r>
      <w:r w:rsidRPr="00CA446A">
        <w:rPr>
          <w:rFonts w:ascii="Arial" w:eastAsiaTheme="minorHAnsi" w:hAnsi="Arial" w:cs="Arial"/>
          <w:color w:val="000000"/>
          <w:sz w:val="22"/>
          <w:szCs w:val="22"/>
          <w:lang w:eastAsia="en-US"/>
        </w:rPr>
        <w:t xml:space="preserve">, unterschiedliche </w:t>
      </w:r>
      <w:r w:rsidR="00707887">
        <w:rPr>
          <w:rFonts w:ascii="Arial" w:eastAsiaTheme="minorHAnsi" w:hAnsi="Arial" w:cs="Arial"/>
          <w:color w:val="000000"/>
          <w:sz w:val="22"/>
          <w:szCs w:val="22"/>
          <w:lang w:eastAsia="en-US"/>
        </w:rPr>
        <w:t>Tätigkeiten und Rahmenbedingungen angepasst werden können</w:t>
      </w:r>
      <w:r w:rsidRPr="00CA446A">
        <w:rPr>
          <w:rFonts w:ascii="Arial" w:eastAsiaTheme="minorHAnsi" w:hAnsi="Arial" w:cs="Arial"/>
          <w:color w:val="000000"/>
          <w:sz w:val="22"/>
          <w:szCs w:val="22"/>
          <w:lang w:eastAsia="en-US"/>
        </w:rPr>
        <w:t xml:space="preserve">. Funktionen wie Tageslicht- und Anwesenheitssensoren reduzieren den Energieverbrauch </w:t>
      </w:r>
      <w:r w:rsidR="00AA4725">
        <w:rPr>
          <w:rFonts w:ascii="Arial" w:eastAsiaTheme="minorHAnsi" w:hAnsi="Arial" w:cs="Arial"/>
          <w:color w:val="000000"/>
          <w:sz w:val="22"/>
          <w:szCs w:val="22"/>
          <w:lang w:eastAsia="en-US"/>
        </w:rPr>
        <w:t xml:space="preserve">beispielsweise </w:t>
      </w:r>
      <w:r w:rsidRPr="00CA446A">
        <w:rPr>
          <w:rFonts w:ascii="Arial" w:eastAsiaTheme="minorHAnsi" w:hAnsi="Arial" w:cs="Arial"/>
          <w:color w:val="000000"/>
          <w:sz w:val="22"/>
          <w:szCs w:val="22"/>
          <w:lang w:eastAsia="en-US"/>
        </w:rPr>
        <w:t xml:space="preserve">erheblich, bei Sanierungsprojekten oft um 90 % oder mehr. </w:t>
      </w:r>
      <w:r w:rsidR="00333B24" w:rsidRPr="00084CDC">
        <w:rPr>
          <w:rFonts w:ascii="Arial" w:hAnsi="Arial" w:cs="Arial"/>
          <w:sz w:val="22"/>
          <w:szCs w:val="22"/>
        </w:rPr>
        <w:t>Die Sensoren sind dezent in die Leuchten integriert, sodass eine intelligente Lösung entsteht und gleichzeitig das optische Design d</w:t>
      </w:r>
      <w:r w:rsidR="00333B24">
        <w:rPr>
          <w:rFonts w:ascii="Arial" w:hAnsi="Arial" w:cs="Arial"/>
          <w:sz w:val="22"/>
          <w:szCs w:val="22"/>
        </w:rPr>
        <w:t xml:space="preserve">er jeweiligen Leuchte </w:t>
      </w:r>
      <w:r w:rsidR="00333B24" w:rsidRPr="00084CDC">
        <w:rPr>
          <w:rFonts w:ascii="Arial" w:hAnsi="Arial" w:cs="Arial"/>
          <w:sz w:val="22"/>
          <w:szCs w:val="22"/>
        </w:rPr>
        <w:t>erhalten bleibt.</w:t>
      </w:r>
      <w:r w:rsidR="00333B24">
        <w:rPr>
          <w:rFonts w:ascii="Arial" w:hAnsi="Arial" w:cs="Arial"/>
          <w:sz w:val="22"/>
          <w:szCs w:val="22"/>
        </w:rPr>
        <w:t xml:space="preserve"> </w:t>
      </w:r>
      <w:r w:rsidRPr="00CA446A">
        <w:rPr>
          <w:rFonts w:ascii="Arial" w:eastAsiaTheme="minorHAnsi" w:hAnsi="Arial" w:cs="Arial"/>
          <w:color w:val="000000"/>
          <w:sz w:val="22"/>
          <w:szCs w:val="22"/>
          <w:lang w:eastAsia="en-US"/>
        </w:rPr>
        <w:t xml:space="preserve">Durch die intelligente Nutzung der Energie wird auch die Lebensdauer der </w:t>
      </w:r>
      <w:r w:rsidR="00707887">
        <w:rPr>
          <w:rFonts w:ascii="Arial" w:eastAsiaTheme="minorHAnsi" w:hAnsi="Arial" w:cs="Arial"/>
          <w:color w:val="000000"/>
          <w:sz w:val="22"/>
          <w:szCs w:val="22"/>
          <w:lang w:eastAsia="en-US"/>
        </w:rPr>
        <w:t>gesamten Beleuchtungsa</w:t>
      </w:r>
      <w:r w:rsidRPr="00CA446A">
        <w:rPr>
          <w:rFonts w:ascii="Arial" w:eastAsiaTheme="minorHAnsi" w:hAnsi="Arial" w:cs="Arial"/>
          <w:color w:val="000000"/>
          <w:sz w:val="22"/>
          <w:szCs w:val="22"/>
          <w:lang w:eastAsia="en-US"/>
        </w:rPr>
        <w:t xml:space="preserve">nlage verlängert. Ein weiterer Vorteil des Einsatzes einer intelligenten Beleuchtung ist die Optimierung der Lichtqualität und das Erreichen eines hervorragenden Sehkomforts dank Lösungen, die die Qualitäten des Tageslichts </w:t>
      </w:r>
      <w:r w:rsidR="007B7A24">
        <w:rPr>
          <w:rFonts w:ascii="Arial" w:eastAsiaTheme="minorHAnsi" w:hAnsi="Arial" w:cs="Arial"/>
          <w:color w:val="000000"/>
          <w:sz w:val="22"/>
          <w:szCs w:val="22"/>
          <w:lang w:eastAsia="en-US"/>
        </w:rPr>
        <w:t xml:space="preserve">über verschiedene Lichtszenarien </w:t>
      </w:r>
      <w:r w:rsidRPr="00CA446A">
        <w:rPr>
          <w:rFonts w:ascii="Arial" w:eastAsiaTheme="minorHAnsi" w:hAnsi="Arial" w:cs="Arial"/>
          <w:color w:val="000000"/>
          <w:sz w:val="22"/>
          <w:szCs w:val="22"/>
          <w:lang w:eastAsia="en-US"/>
        </w:rPr>
        <w:t xml:space="preserve">nachahmen. </w:t>
      </w:r>
      <w:r w:rsidR="007B7A24">
        <w:rPr>
          <w:rFonts w:ascii="Arial" w:eastAsiaTheme="minorHAnsi" w:hAnsi="Arial" w:cs="Arial"/>
          <w:color w:val="000000"/>
          <w:sz w:val="22"/>
          <w:szCs w:val="22"/>
          <w:lang w:eastAsia="en-US"/>
        </w:rPr>
        <w:t>D</w:t>
      </w:r>
      <w:r w:rsidR="00E31848">
        <w:rPr>
          <w:rFonts w:ascii="Arial" w:eastAsiaTheme="minorHAnsi" w:hAnsi="Arial" w:cs="Arial"/>
          <w:color w:val="000000"/>
          <w:sz w:val="22"/>
          <w:szCs w:val="22"/>
          <w:lang w:eastAsia="en-US"/>
        </w:rPr>
        <w:t xml:space="preserve">azu sind </w:t>
      </w:r>
      <w:r w:rsidRPr="00CA446A">
        <w:rPr>
          <w:rFonts w:ascii="Arial" w:eastAsiaTheme="minorHAnsi" w:hAnsi="Arial" w:cs="Arial"/>
          <w:color w:val="000000"/>
          <w:sz w:val="22"/>
          <w:szCs w:val="22"/>
          <w:lang w:eastAsia="en-US"/>
        </w:rPr>
        <w:t xml:space="preserve">bei der C77-Leuchtenfamilie kabelgebundene und Wireless Lichtmanagementsysteme </w:t>
      </w:r>
      <w:r w:rsidR="00E31848">
        <w:rPr>
          <w:rFonts w:ascii="Arial" w:eastAsiaTheme="minorHAnsi" w:hAnsi="Arial" w:cs="Arial"/>
          <w:color w:val="000000"/>
          <w:sz w:val="22"/>
          <w:szCs w:val="22"/>
          <w:lang w:eastAsia="en-US"/>
        </w:rPr>
        <w:t>erhältlich</w:t>
      </w:r>
      <w:r w:rsidRPr="00CA446A">
        <w:rPr>
          <w:rFonts w:ascii="Arial" w:eastAsiaTheme="minorHAnsi" w:hAnsi="Arial" w:cs="Arial"/>
          <w:color w:val="000000"/>
          <w:sz w:val="22"/>
          <w:szCs w:val="22"/>
          <w:lang w:eastAsia="en-US"/>
        </w:rPr>
        <w:t xml:space="preserve">, die eine hohe Flexibilität und Skalierbarkeit gewährleisten </w:t>
      </w:r>
      <w:r w:rsidR="00E31848">
        <w:rPr>
          <w:rFonts w:ascii="Arial" w:eastAsiaTheme="minorHAnsi" w:hAnsi="Arial" w:cs="Arial"/>
          <w:color w:val="000000"/>
          <w:sz w:val="22"/>
          <w:szCs w:val="22"/>
          <w:lang w:eastAsia="en-US"/>
        </w:rPr>
        <w:t>sowie</w:t>
      </w:r>
      <w:r w:rsidRPr="00CA446A">
        <w:rPr>
          <w:rFonts w:ascii="Arial" w:eastAsiaTheme="minorHAnsi" w:hAnsi="Arial" w:cs="Arial"/>
          <w:color w:val="000000"/>
          <w:sz w:val="22"/>
          <w:szCs w:val="22"/>
          <w:lang w:eastAsia="en-US"/>
        </w:rPr>
        <w:t xml:space="preserve"> einfach zu installieren, zu bedienen und zu warten sind. So entsteht eine </w:t>
      </w:r>
      <w:r w:rsidR="00E31848">
        <w:rPr>
          <w:rFonts w:ascii="Arial" w:eastAsiaTheme="minorHAnsi" w:hAnsi="Arial" w:cs="Arial"/>
          <w:color w:val="000000"/>
          <w:sz w:val="22"/>
          <w:szCs w:val="22"/>
          <w:lang w:eastAsia="en-US"/>
        </w:rPr>
        <w:t>intelligente</w:t>
      </w:r>
      <w:r w:rsidRPr="00CA446A">
        <w:rPr>
          <w:rFonts w:ascii="Arial" w:eastAsiaTheme="minorHAnsi" w:hAnsi="Arial" w:cs="Arial"/>
          <w:color w:val="000000"/>
          <w:sz w:val="22"/>
          <w:szCs w:val="22"/>
          <w:lang w:eastAsia="en-US"/>
        </w:rPr>
        <w:t xml:space="preserve"> Beleuchtungslösung, die individuell an jede Spezifikation angepasst und erweitert werden kann. </w:t>
      </w:r>
    </w:p>
    <w:p w14:paraId="4EF23965" w14:textId="77777777" w:rsidR="004C455C" w:rsidRPr="00B73EC6" w:rsidRDefault="004C455C" w:rsidP="00851D2B">
      <w:pPr>
        <w:spacing w:after="120" w:line="360" w:lineRule="auto"/>
        <w:jc w:val="both"/>
        <w:rPr>
          <w:rFonts w:ascii="Arial" w:hAnsi="Arial" w:cs="Arial"/>
          <w:b/>
          <w:bCs/>
          <w:sz w:val="22"/>
          <w:szCs w:val="22"/>
        </w:rPr>
      </w:pPr>
      <w:r w:rsidRPr="00B73EC6">
        <w:rPr>
          <w:rFonts w:ascii="Arial" w:hAnsi="Arial" w:cs="Arial"/>
          <w:b/>
          <w:bCs/>
          <w:sz w:val="22"/>
          <w:szCs w:val="22"/>
        </w:rPr>
        <w:t>Technische Details</w:t>
      </w:r>
    </w:p>
    <w:p w14:paraId="651EEA63" w14:textId="5BBF4035" w:rsidR="004713EE" w:rsidRPr="004713EE" w:rsidRDefault="004C455C" w:rsidP="00851D2B">
      <w:pPr>
        <w:autoSpaceDE w:val="0"/>
        <w:autoSpaceDN w:val="0"/>
        <w:adjustRightInd w:val="0"/>
        <w:spacing w:after="120" w:line="360" w:lineRule="auto"/>
        <w:jc w:val="both"/>
        <w:rPr>
          <w:rFonts w:ascii="Arial" w:hAnsi="Arial" w:cs="Arial"/>
          <w:sz w:val="22"/>
          <w:szCs w:val="22"/>
          <w:u w:val="single"/>
        </w:rPr>
      </w:pPr>
      <w:r w:rsidRPr="00A56E0E">
        <w:rPr>
          <w:rFonts w:ascii="Arial" w:hAnsi="Arial" w:cs="Arial"/>
          <w:sz w:val="22"/>
          <w:szCs w:val="22"/>
        </w:rPr>
        <w:t xml:space="preserve">Die </w:t>
      </w:r>
      <w:r w:rsidR="0032669C" w:rsidRPr="00A56E0E">
        <w:rPr>
          <w:rFonts w:ascii="Arial" w:hAnsi="Arial" w:cs="Arial"/>
          <w:sz w:val="22"/>
          <w:szCs w:val="22"/>
        </w:rPr>
        <w:t xml:space="preserve">Leuchten der neuen C77-Serie sind als Pendel-, Einbau- sowie Anbau-Leuchten </w:t>
      </w:r>
      <w:r w:rsidR="0032669C" w:rsidRPr="002A24F0">
        <w:rPr>
          <w:rFonts w:ascii="Arial" w:hAnsi="Arial" w:cs="Arial"/>
          <w:sz w:val="22"/>
          <w:szCs w:val="22"/>
        </w:rPr>
        <w:t xml:space="preserve">und Downlights </w:t>
      </w:r>
      <w:r w:rsidR="0032669C" w:rsidRPr="00A56E0E">
        <w:rPr>
          <w:rFonts w:ascii="Arial" w:hAnsi="Arial" w:cs="Arial"/>
          <w:sz w:val="22"/>
          <w:szCs w:val="22"/>
        </w:rPr>
        <w:t>bei Glamox ab sofort erhältlich. Die unterschiedlichen Modellvarianten</w:t>
      </w:r>
      <w:r w:rsidRPr="00A56E0E">
        <w:rPr>
          <w:rFonts w:ascii="Arial" w:hAnsi="Arial" w:cs="Arial"/>
          <w:sz w:val="22"/>
          <w:szCs w:val="22"/>
        </w:rPr>
        <w:t xml:space="preserve"> </w:t>
      </w:r>
      <w:r w:rsidR="0032669C" w:rsidRPr="00A56E0E">
        <w:rPr>
          <w:rFonts w:ascii="Arial" w:hAnsi="Arial" w:cs="Arial"/>
          <w:sz w:val="22"/>
          <w:szCs w:val="22"/>
        </w:rPr>
        <w:t xml:space="preserve">sind in Formaten von 160 x 160 mm </w:t>
      </w:r>
      <w:r w:rsidR="0032669C" w:rsidRPr="002A24F0">
        <w:rPr>
          <w:rFonts w:ascii="Arial" w:hAnsi="Arial" w:cs="Arial"/>
          <w:sz w:val="22"/>
          <w:szCs w:val="22"/>
        </w:rPr>
        <w:t>bei den Downlights</w:t>
      </w:r>
      <w:r w:rsidR="0032669C" w:rsidRPr="00A56E0E">
        <w:rPr>
          <w:rFonts w:ascii="Arial" w:hAnsi="Arial" w:cs="Arial"/>
          <w:sz w:val="22"/>
          <w:szCs w:val="22"/>
        </w:rPr>
        <w:t xml:space="preserve"> bis zu </w:t>
      </w:r>
      <w:r w:rsidR="00A56E0E" w:rsidRPr="00A56E0E">
        <w:rPr>
          <w:rFonts w:ascii="Arial" w:hAnsi="Arial" w:cs="Arial"/>
          <w:sz w:val="22"/>
          <w:szCs w:val="22"/>
        </w:rPr>
        <w:t xml:space="preserve">625 x 626 mm oder 312 x 1250 mm </w:t>
      </w:r>
      <w:r w:rsidR="00A56E0E" w:rsidRPr="002A24F0">
        <w:rPr>
          <w:rFonts w:ascii="Arial" w:hAnsi="Arial" w:cs="Arial"/>
          <w:sz w:val="22"/>
          <w:szCs w:val="22"/>
        </w:rPr>
        <w:t xml:space="preserve">bei den Einbauversionen zu </w:t>
      </w:r>
      <w:r w:rsidR="00A56E0E" w:rsidRPr="00A56E0E">
        <w:rPr>
          <w:rFonts w:ascii="Arial" w:hAnsi="Arial" w:cs="Arial"/>
          <w:sz w:val="22"/>
          <w:szCs w:val="22"/>
        </w:rPr>
        <w:t xml:space="preserve">bekommen. </w:t>
      </w:r>
      <w:r w:rsidR="00A56E0E">
        <w:rPr>
          <w:rFonts w:ascii="Arial" w:hAnsi="Arial" w:cs="Arial"/>
          <w:sz w:val="22"/>
          <w:szCs w:val="22"/>
        </w:rPr>
        <w:t>Bei den Reflektoroptiken besteht die Auswahl zwischen Weiß, Silber</w:t>
      </w:r>
      <w:r w:rsidR="0046490E">
        <w:rPr>
          <w:rFonts w:ascii="Arial" w:hAnsi="Arial" w:cs="Arial"/>
          <w:sz w:val="22"/>
          <w:szCs w:val="22"/>
        </w:rPr>
        <w:t>metalic</w:t>
      </w:r>
      <w:r w:rsidR="00A56E0E">
        <w:rPr>
          <w:rFonts w:ascii="Arial" w:hAnsi="Arial" w:cs="Arial"/>
          <w:sz w:val="22"/>
          <w:szCs w:val="22"/>
        </w:rPr>
        <w:t xml:space="preserve"> und Schwarz. </w:t>
      </w:r>
      <w:r w:rsidRPr="00A56E0E">
        <w:rPr>
          <w:rFonts w:ascii="Arial" w:hAnsi="Arial" w:cs="Arial"/>
          <w:sz w:val="22"/>
          <w:szCs w:val="22"/>
        </w:rPr>
        <w:t xml:space="preserve">Weitere Informationen </w:t>
      </w:r>
      <w:r w:rsidR="00A56E0E" w:rsidRPr="00A56E0E">
        <w:rPr>
          <w:rFonts w:ascii="Arial" w:hAnsi="Arial" w:cs="Arial"/>
          <w:sz w:val="22"/>
          <w:szCs w:val="22"/>
        </w:rPr>
        <w:t>zu Formaten, Einsatzmöglichkeiten</w:t>
      </w:r>
      <w:r w:rsidR="00A56E0E">
        <w:rPr>
          <w:rFonts w:ascii="Arial" w:hAnsi="Arial" w:cs="Arial"/>
          <w:sz w:val="22"/>
          <w:szCs w:val="22"/>
        </w:rPr>
        <w:t>, Zubehör</w:t>
      </w:r>
      <w:r w:rsidR="00A56E0E" w:rsidRPr="00A56E0E">
        <w:rPr>
          <w:rFonts w:ascii="Arial" w:hAnsi="Arial" w:cs="Arial"/>
          <w:sz w:val="22"/>
          <w:szCs w:val="22"/>
        </w:rPr>
        <w:t xml:space="preserve"> </w:t>
      </w:r>
      <w:r w:rsidRPr="00A56E0E">
        <w:rPr>
          <w:rFonts w:ascii="Arial" w:hAnsi="Arial" w:cs="Arial"/>
          <w:sz w:val="22"/>
          <w:szCs w:val="22"/>
        </w:rPr>
        <w:t>und technische</w:t>
      </w:r>
      <w:r w:rsidR="00AB6B34">
        <w:rPr>
          <w:rFonts w:ascii="Arial" w:hAnsi="Arial" w:cs="Arial"/>
          <w:sz w:val="22"/>
          <w:szCs w:val="22"/>
        </w:rPr>
        <w:t>n</w:t>
      </w:r>
      <w:r w:rsidRPr="00A56E0E">
        <w:rPr>
          <w:rFonts w:ascii="Arial" w:hAnsi="Arial" w:cs="Arial"/>
          <w:sz w:val="22"/>
          <w:szCs w:val="22"/>
        </w:rPr>
        <w:t xml:space="preserve"> Daten sind unter folgendem Link erhältlich:</w:t>
      </w:r>
      <w:r w:rsidR="004713EE">
        <w:rPr>
          <w:rFonts w:ascii="Arial" w:hAnsi="Arial" w:cs="Arial"/>
          <w:sz w:val="22"/>
          <w:szCs w:val="22"/>
          <w:u w:val="single"/>
        </w:rPr>
        <w:t xml:space="preserve"> </w:t>
      </w:r>
      <w:hyperlink r:id="rId9" w:history="1">
        <w:r w:rsidR="004713EE" w:rsidRPr="00236267">
          <w:rPr>
            <w:rStyle w:val="Hyperlink"/>
            <w:rFonts w:ascii="Arial" w:hAnsi="Arial" w:cs="Arial"/>
            <w:sz w:val="22"/>
            <w:szCs w:val="22"/>
          </w:rPr>
          <w:t>https://www.glamox.com/de/pbs/Produkte/innenbereich/lineare-leuchten/anbau/c77-s/</w:t>
        </w:r>
      </w:hyperlink>
      <w:r w:rsidR="004713EE">
        <w:rPr>
          <w:rFonts w:ascii="Arial" w:hAnsi="Arial" w:cs="Arial"/>
          <w:sz w:val="22"/>
          <w:szCs w:val="22"/>
          <w:u w:val="single"/>
        </w:rPr>
        <w:t>.</w:t>
      </w:r>
    </w:p>
    <w:p w14:paraId="38247987" w14:textId="6A571199" w:rsidR="002D2BA8" w:rsidRPr="00A56E0E" w:rsidRDefault="002D2BA8" w:rsidP="00CA446A">
      <w:pPr>
        <w:spacing w:line="360" w:lineRule="auto"/>
        <w:jc w:val="both"/>
        <w:rPr>
          <w:rFonts w:ascii="Arial" w:hAnsi="Arial" w:cs="Arial"/>
          <w:sz w:val="22"/>
          <w:szCs w:val="22"/>
        </w:rPr>
      </w:pPr>
    </w:p>
    <w:p w14:paraId="294B0774" w14:textId="77777777" w:rsidR="002D2BA8" w:rsidRPr="00CA446A" w:rsidRDefault="002D2BA8" w:rsidP="00CA446A">
      <w:pPr>
        <w:spacing w:line="360" w:lineRule="auto"/>
        <w:jc w:val="both"/>
        <w:rPr>
          <w:rFonts w:ascii="Arial" w:hAnsi="Arial" w:cs="Arial"/>
          <w:sz w:val="22"/>
          <w:szCs w:val="22"/>
        </w:rPr>
      </w:pPr>
    </w:p>
    <w:p w14:paraId="33BE3099" w14:textId="266887FD" w:rsidR="00137EEE" w:rsidRDefault="00137EEE" w:rsidP="00104D9B">
      <w:pPr>
        <w:jc w:val="both"/>
        <w:rPr>
          <w:rFonts w:ascii="Arial" w:hAnsi="Arial" w:cs="Arial"/>
          <w:b/>
          <w:sz w:val="20"/>
          <w:szCs w:val="20"/>
        </w:rPr>
      </w:pPr>
    </w:p>
    <w:p w14:paraId="1335CF0D" w14:textId="1A23399E" w:rsidR="00534A4C" w:rsidRDefault="00534A4C" w:rsidP="00104D9B">
      <w:pPr>
        <w:jc w:val="both"/>
        <w:rPr>
          <w:rFonts w:ascii="Arial" w:hAnsi="Arial" w:cs="Arial"/>
          <w:b/>
          <w:sz w:val="20"/>
          <w:szCs w:val="20"/>
        </w:rPr>
      </w:pPr>
    </w:p>
    <w:p w14:paraId="546616D9" w14:textId="6B87625D" w:rsidR="00534A4C" w:rsidRDefault="00534A4C" w:rsidP="00104D9B">
      <w:pPr>
        <w:jc w:val="both"/>
        <w:rPr>
          <w:rFonts w:ascii="Arial" w:hAnsi="Arial" w:cs="Arial"/>
          <w:b/>
          <w:sz w:val="20"/>
          <w:szCs w:val="20"/>
        </w:rPr>
      </w:pPr>
    </w:p>
    <w:p w14:paraId="43D57A54" w14:textId="1113B258" w:rsidR="00534A4C" w:rsidRDefault="00534A4C" w:rsidP="00104D9B">
      <w:pPr>
        <w:jc w:val="both"/>
        <w:rPr>
          <w:rFonts w:ascii="Arial" w:hAnsi="Arial" w:cs="Arial"/>
          <w:b/>
          <w:sz w:val="20"/>
          <w:szCs w:val="20"/>
        </w:rPr>
      </w:pPr>
    </w:p>
    <w:p w14:paraId="3BAD99F5" w14:textId="0DF82A7E" w:rsidR="00534A4C" w:rsidRDefault="00534A4C" w:rsidP="00104D9B">
      <w:pPr>
        <w:jc w:val="both"/>
        <w:rPr>
          <w:rFonts w:ascii="Arial" w:hAnsi="Arial" w:cs="Arial"/>
          <w:b/>
          <w:sz w:val="20"/>
          <w:szCs w:val="20"/>
        </w:rPr>
      </w:pPr>
    </w:p>
    <w:p w14:paraId="0482D920" w14:textId="4AA3053D" w:rsidR="00534A4C" w:rsidRDefault="00534A4C" w:rsidP="00104D9B">
      <w:pPr>
        <w:jc w:val="both"/>
        <w:rPr>
          <w:rFonts w:ascii="Arial" w:hAnsi="Arial" w:cs="Arial"/>
          <w:b/>
          <w:sz w:val="20"/>
          <w:szCs w:val="20"/>
        </w:rPr>
      </w:pPr>
    </w:p>
    <w:p w14:paraId="6B0CE088" w14:textId="680EBD69" w:rsidR="00534A4C" w:rsidRDefault="00534A4C" w:rsidP="00104D9B">
      <w:pPr>
        <w:jc w:val="both"/>
        <w:rPr>
          <w:rFonts w:ascii="Arial" w:hAnsi="Arial" w:cs="Arial"/>
          <w:b/>
          <w:sz w:val="20"/>
          <w:szCs w:val="20"/>
        </w:rPr>
      </w:pPr>
    </w:p>
    <w:p w14:paraId="188556AA" w14:textId="4934C4AD" w:rsidR="00534A4C" w:rsidRDefault="00534A4C" w:rsidP="00104D9B">
      <w:pPr>
        <w:jc w:val="both"/>
        <w:rPr>
          <w:rFonts w:ascii="Arial" w:hAnsi="Arial" w:cs="Arial"/>
          <w:b/>
          <w:sz w:val="20"/>
          <w:szCs w:val="20"/>
        </w:rPr>
      </w:pPr>
    </w:p>
    <w:p w14:paraId="0869F080" w14:textId="633C1532" w:rsidR="00534A4C" w:rsidRDefault="00534A4C" w:rsidP="00104D9B">
      <w:pPr>
        <w:jc w:val="both"/>
        <w:rPr>
          <w:rFonts w:ascii="Arial" w:hAnsi="Arial" w:cs="Arial"/>
          <w:b/>
          <w:sz w:val="20"/>
          <w:szCs w:val="20"/>
        </w:rPr>
      </w:pPr>
    </w:p>
    <w:p w14:paraId="13060FEF" w14:textId="44BBED4C" w:rsidR="00534A4C" w:rsidRDefault="00534A4C" w:rsidP="00104D9B">
      <w:pPr>
        <w:jc w:val="both"/>
        <w:rPr>
          <w:rFonts w:ascii="Arial" w:hAnsi="Arial" w:cs="Arial"/>
          <w:b/>
          <w:sz w:val="20"/>
          <w:szCs w:val="20"/>
        </w:rPr>
      </w:pPr>
    </w:p>
    <w:p w14:paraId="788B5FBD" w14:textId="15E4BB6A" w:rsidR="00534A4C" w:rsidRDefault="00534A4C" w:rsidP="00104D9B">
      <w:pPr>
        <w:jc w:val="both"/>
        <w:rPr>
          <w:rFonts w:ascii="Arial" w:hAnsi="Arial" w:cs="Arial"/>
          <w:b/>
          <w:sz w:val="20"/>
          <w:szCs w:val="20"/>
        </w:rPr>
      </w:pPr>
    </w:p>
    <w:p w14:paraId="02F69EC3" w14:textId="4DA2A86D" w:rsidR="00534A4C" w:rsidRDefault="00534A4C" w:rsidP="00104D9B">
      <w:pPr>
        <w:jc w:val="both"/>
        <w:rPr>
          <w:rFonts w:ascii="Arial" w:hAnsi="Arial" w:cs="Arial"/>
          <w:b/>
          <w:sz w:val="20"/>
          <w:szCs w:val="20"/>
        </w:rPr>
      </w:pPr>
    </w:p>
    <w:p w14:paraId="74244286" w14:textId="04DE187D" w:rsidR="00534A4C" w:rsidRDefault="00534A4C" w:rsidP="00104D9B">
      <w:pPr>
        <w:jc w:val="both"/>
        <w:rPr>
          <w:rFonts w:ascii="Arial" w:hAnsi="Arial" w:cs="Arial"/>
          <w:b/>
          <w:sz w:val="20"/>
          <w:szCs w:val="20"/>
        </w:rPr>
      </w:pPr>
    </w:p>
    <w:p w14:paraId="21D296D6" w14:textId="77777777" w:rsidR="00534A4C" w:rsidRPr="002D2BA8" w:rsidRDefault="00534A4C" w:rsidP="00104D9B">
      <w:pPr>
        <w:jc w:val="both"/>
        <w:rPr>
          <w:rFonts w:ascii="Arial" w:hAnsi="Arial" w:cs="Arial"/>
          <w:b/>
          <w:sz w:val="20"/>
          <w:szCs w:val="20"/>
        </w:rPr>
      </w:pPr>
    </w:p>
    <w:p w14:paraId="599BAF2B" w14:textId="31C16FCB" w:rsidR="00402FC4" w:rsidRPr="002D2BA8" w:rsidRDefault="00333959" w:rsidP="00DB6FE4">
      <w:pPr>
        <w:jc w:val="both"/>
        <w:outlineLvl w:val="0"/>
        <w:rPr>
          <w:rFonts w:ascii="Arial" w:hAnsi="Arial" w:cs="Arial"/>
          <w:b/>
          <w:sz w:val="20"/>
          <w:szCs w:val="20"/>
        </w:rPr>
      </w:pPr>
      <w:r w:rsidRPr="002D2BA8">
        <w:rPr>
          <w:rFonts w:ascii="Arial" w:hAnsi="Arial" w:cs="Arial"/>
          <w:b/>
          <w:sz w:val="20"/>
          <w:szCs w:val="20"/>
        </w:rPr>
        <w:t xml:space="preserve">Über die </w:t>
      </w:r>
      <w:r w:rsidR="00402FC4" w:rsidRPr="002D2BA8">
        <w:rPr>
          <w:rFonts w:ascii="Arial" w:hAnsi="Arial" w:cs="Arial"/>
          <w:b/>
          <w:sz w:val="20"/>
          <w:szCs w:val="20"/>
        </w:rPr>
        <w:t>Glamox GmbH</w:t>
      </w:r>
    </w:p>
    <w:p w14:paraId="449BE774" w14:textId="77777777" w:rsidR="00402FC4" w:rsidRPr="002D2BA8" w:rsidRDefault="00402FC4" w:rsidP="00DB6FE4">
      <w:pPr>
        <w:jc w:val="both"/>
        <w:outlineLvl w:val="0"/>
        <w:rPr>
          <w:rFonts w:ascii="Arial" w:hAnsi="Arial" w:cs="Arial"/>
          <w:b/>
          <w:sz w:val="20"/>
          <w:szCs w:val="20"/>
        </w:rPr>
      </w:pPr>
    </w:p>
    <w:p w14:paraId="718E6B55" w14:textId="030E3FE3" w:rsidR="006F0F9F" w:rsidRPr="002D2BA8" w:rsidRDefault="00DB6FE4" w:rsidP="00DB6FE4">
      <w:pPr>
        <w:jc w:val="both"/>
        <w:rPr>
          <w:rFonts w:ascii="Arial" w:hAnsi="Arial" w:cs="Arial"/>
          <w:sz w:val="20"/>
          <w:szCs w:val="20"/>
        </w:rPr>
      </w:pPr>
      <w:r w:rsidRPr="002D2BA8">
        <w:rPr>
          <w:rFonts w:ascii="Arial" w:hAnsi="Arial" w:cs="Arial"/>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005CCC17" w14:textId="77777777" w:rsidR="006F0F9F" w:rsidRPr="002D2BA8" w:rsidRDefault="0074120C" w:rsidP="006F0F9F">
      <w:pPr>
        <w:jc w:val="both"/>
        <w:outlineLvl w:val="0"/>
        <w:rPr>
          <w:rFonts w:ascii="Arial" w:hAnsi="Arial" w:cs="Arial"/>
          <w:b/>
          <w:sz w:val="20"/>
          <w:szCs w:val="20"/>
        </w:rPr>
      </w:pPr>
      <w:hyperlink r:id="rId10" w:history="1">
        <w:r w:rsidR="006F0F9F" w:rsidRPr="002D2BA8">
          <w:rPr>
            <w:rStyle w:val="Hyperlink"/>
            <w:rFonts w:ascii="Arial" w:hAnsi="Arial" w:cs="Arial"/>
            <w:sz w:val="20"/>
            <w:szCs w:val="20"/>
          </w:rPr>
          <w:t>www.glamox.de</w:t>
        </w:r>
      </w:hyperlink>
    </w:p>
    <w:p w14:paraId="6451F11A" w14:textId="77777777" w:rsidR="006F0F9F" w:rsidRPr="002D2BA8" w:rsidRDefault="006F0F9F" w:rsidP="00DB6FE4">
      <w:pPr>
        <w:jc w:val="both"/>
        <w:rPr>
          <w:rFonts w:ascii="Arial" w:hAnsi="Arial" w:cs="Arial"/>
          <w:sz w:val="20"/>
          <w:szCs w:val="20"/>
        </w:rPr>
      </w:pPr>
    </w:p>
    <w:p w14:paraId="2D5FC348" w14:textId="77777777" w:rsidR="00DB6FE4" w:rsidRPr="002D2BA8" w:rsidRDefault="00DB6FE4" w:rsidP="00DB6FE4">
      <w:pPr>
        <w:jc w:val="both"/>
        <w:rPr>
          <w:rFonts w:ascii="Arial" w:hAnsi="Arial" w:cs="Arial"/>
          <w:sz w:val="20"/>
          <w:szCs w:val="20"/>
        </w:rPr>
      </w:pPr>
    </w:p>
    <w:p w14:paraId="6D0511D2" w14:textId="3D1ADB42" w:rsidR="00DB6FE4" w:rsidRPr="002D2BA8" w:rsidRDefault="00DB6FE4" w:rsidP="00DB6FE4">
      <w:pPr>
        <w:jc w:val="both"/>
        <w:rPr>
          <w:rFonts w:ascii="Arial" w:hAnsi="Arial" w:cs="Arial"/>
          <w:sz w:val="20"/>
          <w:szCs w:val="20"/>
        </w:rPr>
      </w:pPr>
      <w:r w:rsidRPr="002D2BA8">
        <w:rPr>
          <w:rFonts w:ascii="Arial" w:hAnsi="Arial" w:cs="Arial"/>
          <w:sz w:val="20"/>
          <w:szCs w:val="20"/>
        </w:rPr>
        <w:t>Die Glamox Gruppe ist ein weltweit tätiges Unternehmen mit 2.</w:t>
      </w:r>
      <w:r w:rsidR="00E960D1">
        <w:rPr>
          <w:rFonts w:ascii="Arial" w:hAnsi="Arial" w:cs="Arial"/>
          <w:sz w:val="20"/>
          <w:szCs w:val="20"/>
        </w:rPr>
        <w:t>45</w:t>
      </w:r>
      <w:r w:rsidRPr="002D2BA8">
        <w:rPr>
          <w:rFonts w:ascii="Arial" w:hAnsi="Arial" w:cs="Arial"/>
          <w:sz w:val="20"/>
          <w:szCs w:val="20"/>
        </w:rPr>
        <w:t xml:space="preserve">0 Mitarbeitern und Vertriebs- und </w:t>
      </w:r>
      <w:r w:rsidRPr="00882515">
        <w:rPr>
          <w:rFonts w:ascii="Arial" w:hAnsi="Arial" w:cs="Arial"/>
          <w:sz w:val="20"/>
          <w:szCs w:val="20"/>
        </w:rPr>
        <w:t>Produktionsstandorten in mehreren europäischen Ländern, Asien und Nord</w:t>
      </w:r>
      <w:r w:rsidR="00B76495" w:rsidRPr="00882515">
        <w:rPr>
          <w:rFonts w:ascii="Arial" w:hAnsi="Arial" w:cs="Arial"/>
          <w:sz w:val="20"/>
          <w:szCs w:val="20"/>
        </w:rPr>
        <w:t>-</w:t>
      </w:r>
      <w:r w:rsidRPr="00882515">
        <w:rPr>
          <w:rFonts w:ascii="Arial" w:hAnsi="Arial" w:cs="Arial"/>
          <w:sz w:val="20"/>
          <w:szCs w:val="20"/>
        </w:rPr>
        <w:t xml:space="preserve"> und Südamerika. Der Jahresumsatz 20</w:t>
      </w:r>
      <w:r w:rsidR="00B76495" w:rsidRPr="00882515">
        <w:rPr>
          <w:rFonts w:ascii="Arial" w:hAnsi="Arial" w:cs="Arial"/>
          <w:sz w:val="20"/>
          <w:szCs w:val="20"/>
        </w:rPr>
        <w:t>20</w:t>
      </w:r>
      <w:r w:rsidRPr="00882515">
        <w:rPr>
          <w:rFonts w:ascii="Arial" w:hAnsi="Arial" w:cs="Arial"/>
          <w:sz w:val="20"/>
          <w:szCs w:val="20"/>
        </w:rPr>
        <w:t xml:space="preserve"> betrug </w:t>
      </w:r>
      <w:r w:rsidR="00B76495" w:rsidRPr="00882515">
        <w:rPr>
          <w:rFonts w:ascii="Arial" w:hAnsi="Arial" w:cs="Arial"/>
          <w:sz w:val="20"/>
          <w:szCs w:val="20"/>
        </w:rPr>
        <w:t xml:space="preserve">ca. </w:t>
      </w:r>
      <w:r w:rsidRPr="00882515">
        <w:rPr>
          <w:rFonts w:ascii="Arial" w:hAnsi="Arial" w:cs="Arial"/>
          <w:sz w:val="20"/>
          <w:szCs w:val="20"/>
        </w:rPr>
        <w:t>3</w:t>
      </w:r>
      <w:r w:rsidR="00B76495" w:rsidRPr="00882515">
        <w:rPr>
          <w:rFonts w:ascii="Arial" w:hAnsi="Arial" w:cs="Arial"/>
          <w:sz w:val="20"/>
          <w:szCs w:val="20"/>
        </w:rPr>
        <w:t>42</w:t>
      </w:r>
      <w:r w:rsidRPr="00882515">
        <w:rPr>
          <w:rFonts w:ascii="Arial" w:hAnsi="Arial" w:cs="Arial"/>
          <w:sz w:val="20"/>
          <w:szCs w:val="20"/>
        </w:rPr>
        <w:t xml:space="preserve"> MEUR. Zum Konzern gehören eine Reihe von Qualitätsmarken für Beleuchtung wie Glamox, Aqua Signal, Luxo, Norselight, LINKSrechts, Küttel, </w:t>
      </w:r>
      <w:proofErr w:type="spellStart"/>
      <w:r w:rsidRPr="00882515">
        <w:rPr>
          <w:rFonts w:ascii="Arial" w:hAnsi="Arial" w:cs="Arial"/>
          <w:sz w:val="20"/>
          <w:szCs w:val="20"/>
        </w:rPr>
        <w:t>Luxonic</w:t>
      </w:r>
      <w:proofErr w:type="spellEnd"/>
      <w:r w:rsidR="00B76495" w:rsidRPr="00882515">
        <w:rPr>
          <w:rFonts w:ascii="Arial" w:hAnsi="Arial" w:cs="Arial"/>
          <w:sz w:val="20"/>
          <w:szCs w:val="20"/>
        </w:rPr>
        <w:t>,</w:t>
      </w:r>
      <w:r w:rsidRPr="00882515">
        <w:rPr>
          <w:rFonts w:ascii="Arial" w:hAnsi="Arial" w:cs="Arial"/>
          <w:sz w:val="20"/>
          <w:szCs w:val="20"/>
        </w:rPr>
        <w:t xml:space="preserve"> ES-System</w:t>
      </w:r>
      <w:r w:rsidR="00333959" w:rsidRPr="00882515">
        <w:rPr>
          <w:rFonts w:ascii="Arial" w:hAnsi="Arial" w:cs="Arial"/>
          <w:sz w:val="20"/>
          <w:szCs w:val="20"/>
        </w:rPr>
        <w:t xml:space="preserve">, </w:t>
      </w:r>
      <w:proofErr w:type="spellStart"/>
      <w:r w:rsidR="00B76495" w:rsidRPr="00882515">
        <w:rPr>
          <w:rFonts w:ascii="Arial" w:hAnsi="Arial" w:cs="Arial"/>
          <w:sz w:val="20"/>
          <w:szCs w:val="20"/>
        </w:rPr>
        <w:t>LitelP</w:t>
      </w:r>
      <w:proofErr w:type="spellEnd"/>
      <w:r w:rsidR="00333959" w:rsidRPr="00882515">
        <w:rPr>
          <w:rFonts w:ascii="Arial" w:hAnsi="Arial" w:cs="Arial"/>
          <w:sz w:val="20"/>
          <w:szCs w:val="20"/>
        </w:rPr>
        <w:t xml:space="preserve"> und </w:t>
      </w:r>
      <w:proofErr w:type="spellStart"/>
      <w:r w:rsidR="00333959" w:rsidRPr="00882515">
        <w:rPr>
          <w:rFonts w:ascii="Arial" w:hAnsi="Arial" w:cs="Arial"/>
          <w:sz w:val="20"/>
          <w:szCs w:val="20"/>
        </w:rPr>
        <w:t>Luminell</w:t>
      </w:r>
      <w:proofErr w:type="spellEnd"/>
      <w:r w:rsidRPr="00882515">
        <w:rPr>
          <w:rFonts w:ascii="Arial" w:hAnsi="Arial" w:cs="Arial"/>
          <w:sz w:val="20"/>
          <w:szCs w:val="20"/>
        </w:rPr>
        <w:t>. Um die Kundenbedürfnisse</w:t>
      </w:r>
      <w:r w:rsidRPr="002D2BA8">
        <w:rPr>
          <w:rFonts w:ascii="Arial" w:hAnsi="Arial" w:cs="Arial"/>
          <w:sz w:val="20"/>
          <w:szCs w:val="20"/>
        </w:rPr>
        <w:t xml:space="preserve"> und Erwartungen zu erfüllen, setzt Glamox sich für die Bereitstellung hochwertiger Produkte, Lösungen, Service und Support ein.</w:t>
      </w:r>
    </w:p>
    <w:p w14:paraId="0F3B5B51" w14:textId="31FDC7EE" w:rsidR="00402FC4" w:rsidRPr="002D2BA8" w:rsidRDefault="006F0F9F" w:rsidP="00DB6FE4">
      <w:pPr>
        <w:jc w:val="both"/>
        <w:outlineLvl w:val="0"/>
        <w:rPr>
          <w:rStyle w:val="Hyperlink"/>
          <w:rFonts w:ascii="Arial" w:hAnsi="Arial" w:cs="Arial"/>
          <w:sz w:val="20"/>
          <w:szCs w:val="20"/>
        </w:rPr>
      </w:pPr>
      <w:r w:rsidRPr="002D2BA8">
        <w:rPr>
          <w:rStyle w:val="Hyperlink"/>
          <w:rFonts w:ascii="Arial" w:hAnsi="Arial" w:cs="Arial"/>
          <w:sz w:val="20"/>
          <w:szCs w:val="20"/>
        </w:rPr>
        <w:t xml:space="preserve">www.glamox.com </w:t>
      </w:r>
    </w:p>
    <w:p w14:paraId="732AED04" w14:textId="77777777" w:rsidR="00402FC4" w:rsidRPr="002D2BA8" w:rsidRDefault="00402FC4" w:rsidP="00DB6FE4">
      <w:pPr>
        <w:rPr>
          <w:rFonts w:ascii="Arial" w:hAnsi="Arial" w:cs="Arial"/>
          <w:sz w:val="20"/>
          <w:szCs w:val="20"/>
        </w:rPr>
      </w:pPr>
    </w:p>
    <w:p w14:paraId="1A9DC419" w14:textId="498057BE" w:rsidR="005142E0" w:rsidRPr="007A3906" w:rsidRDefault="005142E0" w:rsidP="00DB6FE4">
      <w:pPr>
        <w:jc w:val="both"/>
        <w:rPr>
          <w:rFonts w:ascii="Arial" w:hAnsi="Arial" w:cs="Arial"/>
          <w:sz w:val="20"/>
          <w:szCs w:val="20"/>
        </w:rPr>
      </w:pPr>
    </w:p>
    <w:p w14:paraId="5BB2DF40" w14:textId="77777777" w:rsidR="002D2BA8" w:rsidRPr="007A3906" w:rsidRDefault="002D2BA8" w:rsidP="00DB6FE4">
      <w:pPr>
        <w:jc w:val="both"/>
        <w:rPr>
          <w:rFonts w:ascii="Arial" w:hAnsi="Arial" w:cs="Arial"/>
          <w:sz w:val="20"/>
          <w:szCs w:val="20"/>
        </w:rPr>
      </w:pPr>
    </w:p>
    <w:bookmarkEnd w:id="0"/>
    <w:bookmarkEnd w:id="1"/>
    <w:p w14:paraId="6828FD13" w14:textId="77777777"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341F9" w:rsidRDefault="0079624F" w:rsidP="00C6336A">
      <w:pPr>
        <w:jc w:val="both"/>
        <w:outlineLvl w:val="0"/>
        <w:rPr>
          <w:rFonts w:ascii="Arial" w:hAnsi="Arial" w:cs="Arial"/>
          <w:sz w:val="20"/>
          <w:szCs w:val="20"/>
          <w:lang w:val="en-US"/>
        </w:rPr>
      </w:pPr>
      <w:r w:rsidRPr="005341F9">
        <w:rPr>
          <w:rFonts w:ascii="Arial" w:hAnsi="Arial" w:cs="Arial"/>
          <w:sz w:val="20"/>
          <w:szCs w:val="20"/>
          <w:lang w:val="en-US"/>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r w:rsidRPr="002D2BA8">
        <w:rPr>
          <w:rFonts w:ascii="Arial" w:hAnsi="Arial" w:cs="Arial"/>
          <w:sz w:val="20"/>
          <w:szCs w:val="20"/>
          <w:lang w:val="en-US"/>
        </w:rPr>
        <w:t>Profil Marketing OHG</w:t>
      </w:r>
    </w:p>
    <w:p w14:paraId="45375218" w14:textId="77777777" w:rsidR="00220815" w:rsidRPr="002D2BA8" w:rsidRDefault="00220815" w:rsidP="008B220B">
      <w:pPr>
        <w:jc w:val="both"/>
        <w:rPr>
          <w:rFonts w:ascii="Arial" w:hAnsi="Arial" w:cs="Arial"/>
          <w:sz w:val="20"/>
          <w:szCs w:val="20"/>
        </w:rPr>
      </w:pPr>
      <w:r w:rsidRPr="005341F9">
        <w:rPr>
          <w:rFonts w:ascii="Arial" w:hAnsi="Arial" w:cs="Arial"/>
          <w:sz w:val="20"/>
          <w:szCs w:val="20"/>
        </w:rPr>
        <w:t xml:space="preserve">Humboldtstr.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BFE7" w14:textId="77777777" w:rsidR="0074120C" w:rsidRDefault="0074120C" w:rsidP="00B631F1">
      <w:r>
        <w:separator/>
      </w:r>
    </w:p>
  </w:endnote>
  <w:endnote w:type="continuationSeparator" w:id="0">
    <w:p w14:paraId="508F2C10" w14:textId="77777777" w:rsidR="0074120C" w:rsidRDefault="0074120C"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EE7D" w14:textId="77777777" w:rsidR="0074120C" w:rsidRDefault="0074120C" w:rsidP="00B631F1">
      <w:r>
        <w:separator/>
      </w:r>
    </w:p>
  </w:footnote>
  <w:footnote w:type="continuationSeparator" w:id="0">
    <w:p w14:paraId="5DFC5D76" w14:textId="77777777" w:rsidR="0074120C" w:rsidRDefault="0074120C"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339558">
    <w:abstractNumId w:val="0"/>
  </w:num>
  <w:num w:numId="2" w16cid:durableId="124645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2726E"/>
    <w:rsid w:val="00030591"/>
    <w:rsid w:val="00032944"/>
    <w:rsid w:val="00033CFF"/>
    <w:rsid w:val="00036679"/>
    <w:rsid w:val="00037EAA"/>
    <w:rsid w:val="000424EC"/>
    <w:rsid w:val="00045966"/>
    <w:rsid w:val="000464B6"/>
    <w:rsid w:val="000502F2"/>
    <w:rsid w:val="00054935"/>
    <w:rsid w:val="0005603A"/>
    <w:rsid w:val="00065A37"/>
    <w:rsid w:val="00066FAB"/>
    <w:rsid w:val="00076CB7"/>
    <w:rsid w:val="00080743"/>
    <w:rsid w:val="00084CDC"/>
    <w:rsid w:val="00086AF1"/>
    <w:rsid w:val="0009353B"/>
    <w:rsid w:val="00096D6C"/>
    <w:rsid w:val="00097D1A"/>
    <w:rsid w:val="000A1489"/>
    <w:rsid w:val="000A4C16"/>
    <w:rsid w:val="000A5AF4"/>
    <w:rsid w:val="000A6E81"/>
    <w:rsid w:val="000B2E19"/>
    <w:rsid w:val="000B408D"/>
    <w:rsid w:val="000B4BC0"/>
    <w:rsid w:val="000C2154"/>
    <w:rsid w:val="000C681A"/>
    <w:rsid w:val="000C7583"/>
    <w:rsid w:val="000D2E13"/>
    <w:rsid w:val="000D54BF"/>
    <w:rsid w:val="000E319C"/>
    <w:rsid w:val="000E3B53"/>
    <w:rsid w:val="000E5B93"/>
    <w:rsid w:val="000E5D07"/>
    <w:rsid w:val="000F1975"/>
    <w:rsid w:val="000F6147"/>
    <w:rsid w:val="000F6337"/>
    <w:rsid w:val="00104D9B"/>
    <w:rsid w:val="00107B05"/>
    <w:rsid w:val="00110202"/>
    <w:rsid w:val="0011331B"/>
    <w:rsid w:val="00116426"/>
    <w:rsid w:val="00136351"/>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C1253"/>
    <w:rsid w:val="001C1A3F"/>
    <w:rsid w:val="001C2009"/>
    <w:rsid w:val="001C42C9"/>
    <w:rsid w:val="001C4CC3"/>
    <w:rsid w:val="001D183D"/>
    <w:rsid w:val="001D7B6F"/>
    <w:rsid w:val="001E1E5B"/>
    <w:rsid w:val="001E60D3"/>
    <w:rsid w:val="00200853"/>
    <w:rsid w:val="00200B69"/>
    <w:rsid w:val="00217113"/>
    <w:rsid w:val="00220815"/>
    <w:rsid w:val="00221321"/>
    <w:rsid w:val="002222AE"/>
    <w:rsid w:val="0022410C"/>
    <w:rsid w:val="002257B8"/>
    <w:rsid w:val="00230F86"/>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37D4"/>
    <w:rsid w:val="00286BBE"/>
    <w:rsid w:val="00291A1A"/>
    <w:rsid w:val="00294039"/>
    <w:rsid w:val="002A24F0"/>
    <w:rsid w:val="002A3D5D"/>
    <w:rsid w:val="002C4DBB"/>
    <w:rsid w:val="002C7F07"/>
    <w:rsid w:val="002D0564"/>
    <w:rsid w:val="002D2BA8"/>
    <w:rsid w:val="002D3AF3"/>
    <w:rsid w:val="002E4268"/>
    <w:rsid w:val="002F420D"/>
    <w:rsid w:val="002F5416"/>
    <w:rsid w:val="00300D24"/>
    <w:rsid w:val="00306C13"/>
    <w:rsid w:val="00310838"/>
    <w:rsid w:val="00312D83"/>
    <w:rsid w:val="003167DC"/>
    <w:rsid w:val="003174FE"/>
    <w:rsid w:val="00323808"/>
    <w:rsid w:val="0032599C"/>
    <w:rsid w:val="0032669C"/>
    <w:rsid w:val="00332C42"/>
    <w:rsid w:val="00333959"/>
    <w:rsid w:val="00333B24"/>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4E53"/>
    <w:rsid w:val="003B54FB"/>
    <w:rsid w:val="003B7BFF"/>
    <w:rsid w:val="003C0228"/>
    <w:rsid w:val="003C0B2F"/>
    <w:rsid w:val="003C0E4F"/>
    <w:rsid w:val="003C4559"/>
    <w:rsid w:val="003D0391"/>
    <w:rsid w:val="003D13D1"/>
    <w:rsid w:val="003D26B0"/>
    <w:rsid w:val="003D4840"/>
    <w:rsid w:val="003D678A"/>
    <w:rsid w:val="003D6E51"/>
    <w:rsid w:val="003D759F"/>
    <w:rsid w:val="003E5144"/>
    <w:rsid w:val="003F3E1F"/>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940"/>
    <w:rsid w:val="00457B32"/>
    <w:rsid w:val="00463AC4"/>
    <w:rsid w:val="004644D4"/>
    <w:rsid w:val="0046490E"/>
    <w:rsid w:val="00466F2D"/>
    <w:rsid w:val="00467CCE"/>
    <w:rsid w:val="00470DDE"/>
    <w:rsid w:val="004713EE"/>
    <w:rsid w:val="00473530"/>
    <w:rsid w:val="00476102"/>
    <w:rsid w:val="00476658"/>
    <w:rsid w:val="004848DC"/>
    <w:rsid w:val="00486C46"/>
    <w:rsid w:val="00492810"/>
    <w:rsid w:val="00492855"/>
    <w:rsid w:val="00494BB4"/>
    <w:rsid w:val="004951C5"/>
    <w:rsid w:val="00497230"/>
    <w:rsid w:val="004A2710"/>
    <w:rsid w:val="004A629B"/>
    <w:rsid w:val="004B1C72"/>
    <w:rsid w:val="004B35C6"/>
    <w:rsid w:val="004B3A58"/>
    <w:rsid w:val="004C2670"/>
    <w:rsid w:val="004C3F0B"/>
    <w:rsid w:val="004C436E"/>
    <w:rsid w:val="004C455C"/>
    <w:rsid w:val="004D3E5A"/>
    <w:rsid w:val="004E1EBB"/>
    <w:rsid w:val="004E3B53"/>
    <w:rsid w:val="004E5388"/>
    <w:rsid w:val="004F58E4"/>
    <w:rsid w:val="004F5A9A"/>
    <w:rsid w:val="00505ED4"/>
    <w:rsid w:val="0051408D"/>
    <w:rsid w:val="005142E0"/>
    <w:rsid w:val="0052090F"/>
    <w:rsid w:val="005234DB"/>
    <w:rsid w:val="0052387A"/>
    <w:rsid w:val="00524A3B"/>
    <w:rsid w:val="005251F5"/>
    <w:rsid w:val="005302E2"/>
    <w:rsid w:val="00531601"/>
    <w:rsid w:val="0053382B"/>
    <w:rsid w:val="005341F9"/>
    <w:rsid w:val="00534A4C"/>
    <w:rsid w:val="0053785F"/>
    <w:rsid w:val="00547670"/>
    <w:rsid w:val="005509FE"/>
    <w:rsid w:val="00550E70"/>
    <w:rsid w:val="00552667"/>
    <w:rsid w:val="00557D39"/>
    <w:rsid w:val="00562598"/>
    <w:rsid w:val="005643DE"/>
    <w:rsid w:val="005650D7"/>
    <w:rsid w:val="0057519F"/>
    <w:rsid w:val="0057526C"/>
    <w:rsid w:val="005A0184"/>
    <w:rsid w:val="005A0D4D"/>
    <w:rsid w:val="005A243C"/>
    <w:rsid w:val="005A5967"/>
    <w:rsid w:val="005A76C0"/>
    <w:rsid w:val="005B206F"/>
    <w:rsid w:val="005B53F4"/>
    <w:rsid w:val="005B62F0"/>
    <w:rsid w:val="005C1315"/>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167B8"/>
    <w:rsid w:val="00622223"/>
    <w:rsid w:val="006242B6"/>
    <w:rsid w:val="00625C2A"/>
    <w:rsid w:val="00625F24"/>
    <w:rsid w:val="00626D34"/>
    <w:rsid w:val="006319F2"/>
    <w:rsid w:val="00634BF2"/>
    <w:rsid w:val="00636DB2"/>
    <w:rsid w:val="00637FA9"/>
    <w:rsid w:val="006421E6"/>
    <w:rsid w:val="00642B15"/>
    <w:rsid w:val="006452B1"/>
    <w:rsid w:val="00663761"/>
    <w:rsid w:val="0067257C"/>
    <w:rsid w:val="00672785"/>
    <w:rsid w:val="00674B07"/>
    <w:rsid w:val="00682350"/>
    <w:rsid w:val="0069078B"/>
    <w:rsid w:val="00695082"/>
    <w:rsid w:val="006A3BB7"/>
    <w:rsid w:val="006A7605"/>
    <w:rsid w:val="006B0276"/>
    <w:rsid w:val="006B0B70"/>
    <w:rsid w:val="006B43F3"/>
    <w:rsid w:val="006B5B42"/>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07887"/>
    <w:rsid w:val="007166FE"/>
    <w:rsid w:val="0072257D"/>
    <w:rsid w:val="00723B96"/>
    <w:rsid w:val="00731B4D"/>
    <w:rsid w:val="007363B8"/>
    <w:rsid w:val="0073670E"/>
    <w:rsid w:val="0074120C"/>
    <w:rsid w:val="007466F9"/>
    <w:rsid w:val="007513C3"/>
    <w:rsid w:val="00756C08"/>
    <w:rsid w:val="00761304"/>
    <w:rsid w:val="00764A0A"/>
    <w:rsid w:val="0077157A"/>
    <w:rsid w:val="00784300"/>
    <w:rsid w:val="007929B8"/>
    <w:rsid w:val="007936E7"/>
    <w:rsid w:val="007947B9"/>
    <w:rsid w:val="0079624F"/>
    <w:rsid w:val="007A36C6"/>
    <w:rsid w:val="007A3906"/>
    <w:rsid w:val="007A3EB8"/>
    <w:rsid w:val="007A7692"/>
    <w:rsid w:val="007B060D"/>
    <w:rsid w:val="007B60D8"/>
    <w:rsid w:val="007B69E5"/>
    <w:rsid w:val="007B786E"/>
    <w:rsid w:val="007B7A24"/>
    <w:rsid w:val="007C06AB"/>
    <w:rsid w:val="007C2207"/>
    <w:rsid w:val="007C3396"/>
    <w:rsid w:val="007C46B0"/>
    <w:rsid w:val="007D5556"/>
    <w:rsid w:val="007D63C1"/>
    <w:rsid w:val="007D6C02"/>
    <w:rsid w:val="007D7066"/>
    <w:rsid w:val="007E0A75"/>
    <w:rsid w:val="007F41A6"/>
    <w:rsid w:val="007F63E9"/>
    <w:rsid w:val="007F665E"/>
    <w:rsid w:val="00800E1A"/>
    <w:rsid w:val="00804C2E"/>
    <w:rsid w:val="00814905"/>
    <w:rsid w:val="00816656"/>
    <w:rsid w:val="00816792"/>
    <w:rsid w:val="00823D20"/>
    <w:rsid w:val="00824389"/>
    <w:rsid w:val="0082614E"/>
    <w:rsid w:val="00826DCB"/>
    <w:rsid w:val="008379A2"/>
    <w:rsid w:val="00851D2B"/>
    <w:rsid w:val="00853897"/>
    <w:rsid w:val="00857977"/>
    <w:rsid w:val="00860146"/>
    <w:rsid w:val="0086219E"/>
    <w:rsid w:val="00862215"/>
    <w:rsid w:val="00863492"/>
    <w:rsid w:val="00875B5D"/>
    <w:rsid w:val="00882515"/>
    <w:rsid w:val="00890842"/>
    <w:rsid w:val="0089141F"/>
    <w:rsid w:val="00895749"/>
    <w:rsid w:val="00896F6A"/>
    <w:rsid w:val="008A0D33"/>
    <w:rsid w:val="008A112E"/>
    <w:rsid w:val="008A4331"/>
    <w:rsid w:val="008A4772"/>
    <w:rsid w:val="008A4996"/>
    <w:rsid w:val="008B1EDB"/>
    <w:rsid w:val="008B220B"/>
    <w:rsid w:val="008B3887"/>
    <w:rsid w:val="008B4199"/>
    <w:rsid w:val="008B543D"/>
    <w:rsid w:val="008B5C0C"/>
    <w:rsid w:val="008B6FA3"/>
    <w:rsid w:val="008C35B3"/>
    <w:rsid w:val="008D22DB"/>
    <w:rsid w:val="008E2F6A"/>
    <w:rsid w:val="008E410E"/>
    <w:rsid w:val="00901E1C"/>
    <w:rsid w:val="0090241A"/>
    <w:rsid w:val="009027DD"/>
    <w:rsid w:val="00905225"/>
    <w:rsid w:val="009078A8"/>
    <w:rsid w:val="009114FC"/>
    <w:rsid w:val="009131DB"/>
    <w:rsid w:val="00914172"/>
    <w:rsid w:val="0092652B"/>
    <w:rsid w:val="00931F40"/>
    <w:rsid w:val="00935BFF"/>
    <w:rsid w:val="00935D25"/>
    <w:rsid w:val="00936EE8"/>
    <w:rsid w:val="00940919"/>
    <w:rsid w:val="00941224"/>
    <w:rsid w:val="00943190"/>
    <w:rsid w:val="00943EE7"/>
    <w:rsid w:val="0094556C"/>
    <w:rsid w:val="00951C51"/>
    <w:rsid w:val="009602BE"/>
    <w:rsid w:val="0096670B"/>
    <w:rsid w:val="00973086"/>
    <w:rsid w:val="00976067"/>
    <w:rsid w:val="00997817"/>
    <w:rsid w:val="009A2C46"/>
    <w:rsid w:val="009A439A"/>
    <w:rsid w:val="009B313F"/>
    <w:rsid w:val="009B4FC0"/>
    <w:rsid w:val="009B60F3"/>
    <w:rsid w:val="009C1C34"/>
    <w:rsid w:val="009C2752"/>
    <w:rsid w:val="009C65F6"/>
    <w:rsid w:val="009C6D99"/>
    <w:rsid w:val="009C7FBE"/>
    <w:rsid w:val="009D747B"/>
    <w:rsid w:val="009E2A6B"/>
    <w:rsid w:val="009E2AB6"/>
    <w:rsid w:val="009E2C72"/>
    <w:rsid w:val="009E5C30"/>
    <w:rsid w:val="009F6DCE"/>
    <w:rsid w:val="00A0261D"/>
    <w:rsid w:val="00A04148"/>
    <w:rsid w:val="00A07B2E"/>
    <w:rsid w:val="00A138A6"/>
    <w:rsid w:val="00A14C7D"/>
    <w:rsid w:val="00A150F8"/>
    <w:rsid w:val="00A268E2"/>
    <w:rsid w:val="00A26F27"/>
    <w:rsid w:val="00A31B52"/>
    <w:rsid w:val="00A36DA3"/>
    <w:rsid w:val="00A56E0E"/>
    <w:rsid w:val="00A575FB"/>
    <w:rsid w:val="00A60590"/>
    <w:rsid w:val="00A73BD1"/>
    <w:rsid w:val="00A8112D"/>
    <w:rsid w:val="00A83B57"/>
    <w:rsid w:val="00A87B35"/>
    <w:rsid w:val="00A91E58"/>
    <w:rsid w:val="00A9237E"/>
    <w:rsid w:val="00A92686"/>
    <w:rsid w:val="00A92ED7"/>
    <w:rsid w:val="00AA41EB"/>
    <w:rsid w:val="00AA4725"/>
    <w:rsid w:val="00AB6AC0"/>
    <w:rsid w:val="00AB6B34"/>
    <w:rsid w:val="00AB6D95"/>
    <w:rsid w:val="00AC79D7"/>
    <w:rsid w:val="00AE15C3"/>
    <w:rsid w:val="00AE3602"/>
    <w:rsid w:val="00AE48EC"/>
    <w:rsid w:val="00AF106F"/>
    <w:rsid w:val="00AF1A90"/>
    <w:rsid w:val="00AF63A7"/>
    <w:rsid w:val="00B02F49"/>
    <w:rsid w:val="00B05F3D"/>
    <w:rsid w:val="00B07A84"/>
    <w:rsid w:val="00B147C3"/>
    <w:rsid w:val="00B162FA"/>
    <w:rsid w:val="00B21791"/>
    <w:rsid w:val="00B244EE"/>
    <w:rsid w:val="00B305A6"/>
    <w:rsid w:val="00B3479B"/>
    <w:rsid w:val="00B3603D"/>
    <w:rsid w:val="00B37B16"/>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0EE1"/>
    <w:rsid w:val="00B910E4"/>
    <w:rsid w:val="00B913FB"/>
    <w:rsid w:val="00B93162"/>
    <w:rsid w:val="00B934AC"/>
    <w:rsid w:val="00BA12FB"/>
    <w:rsid w:val="00BA2EE1"/>
    <w:rsid w:val="00BA4F9D"/>
    <w:rsid w:val="00BB0CB3"/>
    <w:rsid w:val="00BB2412"/>
    <w:rsid w:val="00BB3F83"/>
    <w:rsid w:val="00BB5B8A"/>
    <w:rsid w:val="00BB659B"/>
    <w:rsid w:val="00BC0744"/>
    <w:rsid w:val="00BC1854"/>
    <w:rsid w:val="00BC3FD5"/>
    <w:rsid w:val="00BC568B"/>
    <w:rsid w:val="00BD07A2"/>
    <w:rsid w:val="00BD6AF6"/>
    <w:rsid w:val="00BE131E"/>
    <w:rsid w:val="00BE1F7E"/>
    <w:rsid w:val="00BE2C5C"/>
    <w:rsid w:val="00BE6024"/>
    <w:rsid w:val="00BE6771"/>
    <w:rsid w:val="00BE6ED6"/>
    <w:rsid w:val="00BF4EF6"/>
    <w:rsid w:val="00BF522D"/>
    <w:rsid w:val="00C03B65"/>
    <w:rsid w:val="00C04811"/>
    <w:rsid w:val="00C2038B"/>
    <w:rsid w:val="00C20A35"/>
    <w:rsid w:val="00C33142"/>
    <w:rsid w:val="00C447FE"/>
    <w:rsid w:val="00C45390"/>
    <w:rsid w:val="00C46E7E"/>
    <w:rsid w:val="00C526CF"/>
    <w:rsid w:val="00C6336A"/>
    <w:rsid w:val="00C74EF8"/>
    <w:rsid w:val="00C75CE0"/>
    <w:rsid w:val="00C76120"/>
    <w:rsid w:val="00C837FF"/>
    <w:rsid w:val="00CA11F0"/>
    <w:rsid w:val="00CA446A"/>
    <w:rsid w:val="00CA6775"/>
    <w:rsid w:val="00CA71A0"/>
    <w:rsid w:val="00CB6B19"/>
    <w:rsid w:val="00CC054E"/>
    <w:rsid w:val="00CE5F21"/>
    <w:rsid w:val="00CF2613"/>
    <w:rsid w:val="00CF3955"/>
    <w:rsid w:val="00CF5C4C"/>
    <w:rsid w:val="00D00357"/>
    <w:rsid w:val="00D01119"/>
    <w:rsid w:val="00D02AF1"/>
    <w:rsid w:val="00D10217"/>
    <w:rsid w:val="00D10777"/>
    <w:rsid w:val="00D10CCC"/>
    <w:rsid w:val="00D11919"/>
    <w:rsid w:val="00D11A57"/>
    <w:rsid w:val="00D151F9"/>
    <w:rsid w:val="00D21D50"/>
    <w:rsid w:val="00D26CA5"/>
    <w:rsid w:val="00D36BAD"/>
    <w:rsid w:val="00D379BE"/>
    <w:rsid w:val="00D403E5"/>
    <w:rsid w:val="00D50A6E"/>
    <w:rsid w:val="00D56407"/>
    <w:rsid w:val="00D571A1"/>
    <w:rsid w:val="00D62AEB"/>
    <w:rsid w:val="00D63921"/>
    <w:rsid w:val="00D71054"/>
    <w:rsid w:val="00D80B68"/>
    <w:rsid w:val="00D81367"/>
    <w:rsid w:val="00D937EB"/>
    <w:rsid w:val="00D95419"/>
    <w:rsid w:val="00D95846"/>
    <w:rsid w:val="00DA33A7"/>
    <w:rsid w:val="00DA427F"/>
    <w:rsid w:val="00DA4E1F"/>
    <w:rsid w:val="00DB3294"/>
    <w:rsid w:val="00DB4B99"/>
    <w:rsid w:val="00DB6FE4"/>
    <w:rsid w:val="00DC00C9"/>
    <w:rsid w:val="00DC6203"/>
    <w:rsid w:val="00DD203A"/>
    <w:rsid w:val="00DD5333"/>
    <w:rsid w:val="00DD6BE7"/>
    <w:rsid w:val="00DD74C8"/>
    <w:rsid w:val="00DE2001"/>
    <w:rsid w:val="00DE4C1E"/>
    <w:rsid w:val="00DE7D60"/>
    <w:rsid w:val="00DF2799"/>
    <w:rsid w:val="00DF33D8"/>
    <w:rsid w:val="00DF4781"/>
    <w:rsid w:val="00E0052D"/>
    <w:rsid w:val="00E100B0"/>
    <w:rsid w:val="00E12773"/>
    <w:rsid w:val="00E12FBA"/>
    <w:rsid w:val="00E16820"/>
    <w:rsid w:val="00E27153"/>
    <w:rsid w:val="00E303D0"/>
    <w:rsid w:val="00E311B6"/>
    <w:rsid w:val="00E31848"/>
    <w:rsid w:val="00E31DF3"/>
    <w:rsid w:val="00E33439"/>
    <w:rsid w:val="00E335AA"/>
    <w:rsid w:val="00E33D3A"/>
    <w:rsid w:val="00E42536"/>
    <w:rsid w:val="00E527E4"/>
    <w:rsid w:val="00E53B35"/>
    <w:rsid w:val="00E562C0"/>
    <w:rsid w:val="00E611C8"/>
    <w:rsid w:val="00E641AF"/>
    <w:rsid w:val="00E679E3"/>
    <w:rsid w:val="00E70015"/>
    <w:rsid w:val="00E745E0"/>
    <w:rsid w:val="00E86054"/>
    <w:rsid w:val="00E86731"/>
    <w:rsid w:val="00E874AE"/>
    <w:rsid w:val="00E90495"/>
    <w:rsid w:val="00E93A1A"/>
    <w:rsid w:val="00E960D1"/>
    <w:rsid w:val="00E966D3"/>
    <w:rsid w:val="00E96EE9"/>
    <w:rsid w:val="00EB3D50"/>
    <w:rsid w:val="00EC2073"/>
    <w:rsid w:val="00EC24C2"/>
    <w:rsid w:val="00EC3CF0"/>
    <w:rsid w:val="00EC5F0F"/>
    <w:rsid w:val="00ED3744"/>
    <w:rsid w:val="00ED38E1"/>
    <w:rsid w:val="00ED6322"/>
    <w:rsid w:val="00EE0401"/>
    <w:rsid w:val="00EE2D30"/>
    <w:rsid w:val="00EE64D7"/>
    <w:rsid w:val="00EF054E"/>
    <w:rsid w:val="00EF37AE"/>
    <w:rsid w:val="00EF51CE"/>
    <w:rsid w:val="00EF686B"/>
    <w:rsid w:val="00F00E1C"/>
    <w:rsid w:val="00F05AF5"/>
    <w:rsid w:val="00F1121A"/>
    <w:rsid w:val="00F123F7"/>
    <w:rsid w:val="00F12897"/>
    <w:rsid w:val="00F129EA"/>
    <w:rsid w:val="00F134D3"/>
    <w:rsid w:val="00F1765E"/>
    <w:rsid w:val="00F22C08"/>
    <w:rsid w:val="00F318C1"/>
    <w:rsid w:val="00F31A3A"/>
    <w:rsid w:val="00F34C44"/>
    <w:rsid w:val="00F367F4"/>
    <w:rsid w:val="00F3697B"/>
    <w:rsid w:val="00F377AA"/>
    <w:rsid w:val="00F37CE2"/>
    <w:rsid w:val="00F42EA2"/>
    <w:rsid w:val="00F50F42"/>
    <w:rsid w:val="00F52697"/>
    <w:rsid w:val="00F602AE"/>
    <w:rsid w:val="00F60470"/>
    <w:rsid w:val="00F61B88"/>
    <w:rsid w:val="00F64FE1"/>
    <w:rsid w:val="00F7115F"/>
    <w:rsid w:val="00F72621"/>
    <w:rsid w:val="00F736E8"/>
    <w:rsid w:val="00F77576"/>
    <w:rsid w:val="00F81502"/>
    <w:rsid w:val="00F84092"/>
    <w:rsid w:val="00F861D8"/>
    <w:rsid w:val="00F86B07"/>
    <w:rsid w:val="00F86B3D"/>
    <w:rsid w:val="00F93CDD"/>
    <w:rsid w:val="00F95A58"/>
    <w:rsid w:val="00F97F91"/>
    <w:rsid w:val="00FA0CE7"/>
    <w:rsid w:val="00FA2C9D"/>
    <w:rsid w:val="00FB31D1"/>
    <w:rsid w:val="00FB5BA5"/>
    <w:rsid w:val="00FD3888"/>
    <w:rsid w:val="00FD49F7"/>
    <w:rsid w:val="00FD4F4F"/>
    <w:rsid w:val="00FD5EB2"/>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2580">
      <w:bodyDiv w:val="1"/>
      <w:marLeft w:val="0"/>
      <w:marRight w:val="0"/>
      <w:marTop w:val="0"/>
      <w:marBottom w:val="0"/>
      <w:divBdr>
        <w:top w:val="none" w:sz="0" w:space="0" w:color="auto"/>
        <w:left w:val="none" w:sz="0" w:space="0" w:color="auto"/>
        <w:bottom w:val="none" w:sz="0" w:space="0" w:color="auto"/>
        <w:right w:val="none" w:sz="0" w:space="0" w:color="auto"/>
      </w:divBdr>
      <w:divsChild>
        <w:div w:id="2111243078">
          <w:marLeft w:val="0"/>
          <w:marRight w:val="0"/>
          <w:marTop w:val="0"/>
          <w:marBottom w:val="0"/>
          <w:divBdr>
            <w:top w:val="none" w:sz="0" w:space="0" w:color="auto"/>
            <w:left w:val="none" w:sz="0" w:space="0" w:color="auto"/>
            <w:bottom w:val="none" w:sz="0" w:space="0" w:color="auto"/>
            <w:right w:val="none" w:sz="0" w:space="0" w:color="auto"/>
          </w:divBdr>
          <w:divsChild>
            <w:div w:id="1717507637">
              <w:marLeft w:val="0"/>
              <w:marRight w:val="0"/>
              <w:marTop w:val="0"/>
              <w:marBottom w:val="0"/>
              <w:divBdr>
                <w:top w:val="none" w:sz="0" w:space="0" w:color="auto"/>
                <w:left w:val="none" w:sz="0" w:space="0" w:color="auto"/>
                <w:bottom w:val="none" w:sz="0" w:space="0" w:color="auto"/>
                <w:right w:val="none" w:sz="0" w:space="0" w:color="auto"/>
              </w:divBdr>
              <w:divsChild>
                <w:div w:id="1008825725">
                  <w:marLeft w:val="0"/>
                  <w:marRight w:val="0"/>
                  <w:marTop w:val="0"/>
                  <w:marBottom w:val="0"/>
                  <w:divBdr>
                    <w:top w:val="none" w:sz="0" w:space="0" w:color="auto"/>
                    <w:left w:val="none" w:sz="0" w:space="0" w:color="auto"/>
                    <w:bottom w:val="none" w:sz="0" w:space="0" w:color="auto"/>
                    <w:right w:val="none" w:sz="0" w:space="0" w:color="auto"/>
                  </w:divBdr>
                  <w:divsChild>
                    <w:div w:id="903183523">
                      <w:marLeft w:val="0"/>
                      <w:marRight w:val="0"/>
                      <w:marTop w:val="0"/>
                      <w:marBottom w:val="0"/>
                      <w:divBdr>
                        <w:top w:val="none" w:sz="0" w:space="0" w:color="auto"/>
                        <w:left w:val="none" w:sz="0" w:space="0" w:color="auto"/>
                        <w:bottom w:val="none" w:sz="0" w:space="0" w:color="auto"/>
                        <w:right w:val="none" w:sz="0" w:space="0" w:color="auto"/>
                      </w:divBdr>
                    </w:div>
                    <w:div w:id="4858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49263424">
      <w:bodyDiv w:val="1"/>
      <w:marLeft w:val="0"/>
      <w:marRight w:val="0"/>
      <w:marTop w:val="0"/>
      <w:marBottom w:val="0"/>
      <w:divBdr>
        <w:top w:val="none" w:sz="0" w:space="0" w:color="auto"/>
        <w:left w:val="none" w:sz="0" w:space="0" w:color="auto"/>
        <w:bottom w:val="none" w:sz="0" w:space="0" w:color="auto"/>
        <w:right w:val="none" w:sz="0" w:space="0" w:color="auto"/>
      </w:divBdr>
      <w:divsChild>
        <w:div w:id="219247918">
          <w:marLeft w:val="0"/>
          <w:marRight w:val="0"/>
          <w:marTop w:val="0"/>
          <w:marBottom w:val="0"/>
          <w:divBdr>
            <w:top w:val="none" w:sz="0" w:space="0" w:color="auto"/>
            <w:left w:val="none" w:sz="0" w:space="0" w:color="auto"/>
            <w:bottom w:val="none" w:sz="0" w:space="0" w:color="auto"/>
            <w:right w:val="none" w:sz="0" w:space="0" w:color="auto"/>
          </w:divBdr>
          <w:divsChild>
            <w:div w:id="921140336">
              <w:marLeft w:val="0"/>
              <w:marRight w:val="0"/>
              <w:marTop w:val="0"/>
              <w:marBottom w:val="0"/>
              <w:divBdr>
                <w:top w:val="none" w:sz="0" w:space="0" w:color="auto"/>
                <w:left w:val="none" w:sz="0" w:space="0" w:color="auto"/>
                <w:bottom w:val="none" w:sz="0" w:space="0" w:color="auto"/>
                <w:right w:val="none" w:sz="0" w:space="0" w:color="auto"/>
              </w:divBdr>
              <w:divsChild>
                <w:div w:id="157423310">
                  <w:marLeft w:val="0"/>
                  <w:marRight w:val="0"/>
                  <w:marTop w:val="0"/>
                  <w:marBottom w:val="0"/>
                  <w:divBdr>
                    <w:top w:val="none" w:sz="0" w:space="0" w:color="auto"/>
                    <w:left w:val="none" w:sz="0" w:space="0" w:color="auto"/>
                    <w:bottom w:val="none" w:sz="0" w:space="0" w:color="auto"/>
                    <w:right w:val="none" w:sz="0" w:space="0" w:color="auto"/>
                  </w:divBdr>
                </w:div>
                <w:div w:id="16367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773017009">
      <w:bodyDiv w:val="1"/>
      <w:marLeft w:val="0"/>
      <w:marRight w:val="0"/>
      <w:marTop w:val="0"/>
      <w:marBottom w:val="0"/>
      <w:divBdr>
        <w:top w:val="none" w:sz="0" w:space="0" w:color="auto"/>
        <w:left w:val="none" w:sz="0" w:space="0" w:color="auto"/>
        <w:bottom w:val="none" w:sz="0" w:space="0" w:color="auto"/>
        <w:right w:val="none" w:sz="0" w:space="0" w:color="auto"/>
      </w:divBdr>
      <w:divsChild>
        <w:div w:id="616840848">
          <w:marLeft w:val="0"/>
          <w:marRight w:val="0"/>
          <w:marTop w:val="0"/>
          <w:marBottom w:val="0"/>
          <w:divBdr>
            <w:top w:val="none" w:sz="0" w:space="0" w:color="auto"/>
            <w:left w:val="none" w:sz="0" w:space="0" w:color="auto"/>
            <w:bottom w:val="none" w:sz="0" w:space="0" w:color="auto"/>
            <w:right w:val="none" w:sz="0" w:space="0" w:color="auto"/>
          </w:divBdr>
          <w:divsChild>
            <w:div w:id="169564434">
              <w:marLeft w:val="0"/>
              <w:marRight w:val="0"/>
              <w:marTop w:val="0"/>
              <w:marBottom w:val="0"/>
              <w:divBdr>
                <w:top w:val="none" w:sz="0" w:space="0" w:color="auto"/>
                <w:left w:val="none" w:sz="0" w:space="0" w:color="auto"/>
                <w:bottom w:val="none" w:sz="0" w:space="0" w:color="auto"/>
                <w:right w:val="none" w:sz="0" w:space="0" w:color="auto"/>
              </w:divBdr>
              <w:divsChild>
                <w:div w:id="2581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086809175">
      <w:bodyDiv w:val="1"/>
      <w:marLeft w:val="0"/>
      <w:marRight w:val="0"/>
      <w:marTop w:val="0"/>
      <w:marBottom w:val="0"/>
      <w:divBdr>
        <w:top w:val="none" w:sz="0" w:space="0" w:color="auto"/>
        <w:left w:val="none" w:sz="0" w:space="0" w:color="auto"/>
        <w:bottom w:val="none" w:sz="0" w:space="0" w:color="auto"/>
        <w:right w:val="none" w:sz="0" w:space="0" w:color="auto"/>
      </w:divBdr>
      <w:divsChild>
        <w:div w:id="650065388">
          <w:marLeft w:val="0"/>
          <w:marRight w:val="0"/>
          <w:marTop w:val="0"/>
          <w:marBottom w:val="0"/>
          <w:divBdr>
            <w:top w:val="none" w:sz="0" w:space="0" w:color="auto"/>
            <w:left w:val="none" w:sz="0" w:space="0" w:color="auto"/>
            <w:bottom w:val="none" w:sz="0" w:space="0" w:color="auto"/>
            <w:right w:val="none" w:sz="0" w:space="0" w:color="auto"/>
          </w:divBdr>
          <w:divsChild>
            <w:div w:id="2023513102">
              <w:marLeft w:val="0"/>
              <w:marRight w:val="0"/>
              <w:marTop w:val="0"/>
              <w:marBottom w:val="0"/>
              <w:divBdr>
                <w:top w:val="none" w:sz="0" w:space="0" w:color="auto"/>
                <w:left w:val="none" w:sz="0" w:space="0" w:color="auto"/>
                <w:bottom w:val="none" w:sz="0" w:space="0" w:color="auto"/>
                <w:right w:val="none" w:sz="0" w:space="0" w:color="auto"/>
              </w:divBdr>
              <w:divsChild>
                <w:div w:id="1374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59177731">
      <w:bodyDiv w:val="1"/>
      <w:marLeft w:val="0"/>
      <w:marRight w:val="0"/>
      <w:marTop w:val="0"/>
      <w:marBottom w:val="0"/>
      <w:divBdr>
        <w:top w:val="none" w:sz="0" w:space="0" w:color="auto"/>
        <w:left w:val="none" w:sz="0" w:space="0" w:color="auto"/>
        <w:bottom w:val="none" w:sz="0" w:space="0" w:color="auto"/>
        <w:right w:val="none" w:sz="0" w:space="0" w:color="auto"/>
      </w:divBdr>
      <w:divsChild>
        <w:div w:id="422726427">
          <w:marLeft w:val="0"/>
          <w:marRight w:val="0"/>
          <w:marTop w:val="0"/>
          <w:marBottom w:val="0"/>
          <w:divBdr>
            <w:top w:val="none" w:sz="0" w:space="0" w:color="auto"/>
            <w:left w:val="none" w:sz="0" w:space="0" w:color="auto"/>
            <w:bottom w:val="none" w:sz="0" w:space="0" w:color="auto"/>
            <w:right w:val="none" w:sz="0" w:space="0" w:color="auto"/>
          </w:divBdr>
          <w:divsChild>
            <w:div w:id="1431466052">
              <w:marLeft w:val="0"/>
              <w:marRight w:val="0"/>
              <w:marTop w:val="0"/>
              <w:marBottom w:val="0"/>
              <w:divBdr>
                <w:top w:val="none" w:sz="0" w:space="0" w:color="auto"/>
                <w:left w:val="none" w:sz="0" w:space="0" w:color="auto"/>
                <w:bottom w:val="none" w:sz="0" w:space="0" w:color="auto"/>
                <w:right w:val="none" w:sz="0" w:space="0" w:color="auto"/>
              </w:divBdr>
              <w:divsChild>
                <w:div w:id="6047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5289">
      <w:bodyDiv w:val="1"/>
      <w:marLeft w:val="0"/>
      <w:marRight w:val="0"/>
      <w:marTop w:val="0"/>
      <w:marBottom w:val="0"/>
      <w:divBdr>
        <w:top w:val="none" w:sz="0" w:space="0" w:color="auto"/>
        <w:left w:val="none" w:sz="0" w:space="0" w:color="auto"/>
        <w:bottom w:val="none" w:sz="0" w:space="0" w:color="auto"/>
        <w:right w:val="none" w:sz="0" w:space="0" w:color="auto"/>
      </w:divBdr>
      <w:divsChild>
        <w:div w:id="1056128964">
          <w:marLeft w:val="0"/>
          <w:marRight w:val="0"/>
          <w:marTop w:val="0"/>
          <w:marBottom w:val="0"/>
          <w:divBdr>
            <w:top w:val="none" w:sz="0" w:space="0" w:color="auto"/>
            <w:left w:val="none" w:sz="0" w:space="0" w:color="auto"/>
            <w:bottom w:val="none" w:sz="0" w:space="0" w:color="auto"/>
            <w:right w:val="none" w:sz="0" w:space="0" w:color="auto"/>
          </w:divBdr>
          <w:divsChild>
            <w:div w:id="1619484707">
              <w:marLeft w:val="0"/>
              <w:marRight w:val="0"/>
              <w:marTop w:val="0"/>
              <w:marBottom w:val="0"/>
              <w:divBdr>
                <w:top w:val="none" w:sz="0" w:space="0" w:color="auto"/>
                <w:left w:val="none" w:sz="0" w:space="0" w:color="auto"/>
                <w:bottom w:val="none" w:sz="0" w:space="0" w:color="auto"/>
                <w:right w:val="none" w:sz="0" w:space="0" w:color="auto"/>
              </w:divBdr>
              <w:divsChild>
                <w:div w:id="1568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5465">
      <w:bodyDiv w:val="1"/>
      <w:marLeft w:val="0"/>
      <w:marRight w:val="0"/>
      <w:marTop w:val="0"/>
      <w:marBottom w:val="0"/>
      <w:divBdr>
        <w:top w:val="none" w:sz="0" w:space="0" w:color="auto"/>
        <w:left w:val="none" w:sz="0" w:space="0" w:color="auto"/>
        <w:bottom w:val="none" w:sz="0" w:space="0" w:color="auto"/>
        <w:right w:val="none" w:sz="0" w:space="0" w:color="auto"/>
      </w:divBdr>
      <w:divsChild>
        <w:div w:id="2003309625">
          <w:marLeft w:val="0"/>
          <w:marRight w:val="0"/>
          <w:marTop w:val="0"/>
          <w:marBottom w:val="0"/>
          <w:divBdr>
            <w:top w:val="none" w:sz="0" w:space="0" w:color="auto"/>
            <w:left w:val="none" w:sz="0" w:space="0" w:color="auto"/>
            <w:bottom w:val="none" w:sz="0" w:space="0" w:color="auto"/>
            <w:right w:val="none" w:sz="0" w:space="0" w:color="auto"/>
          </w:divBdr>
          <w:divsChild>
            <w:div w:id="584845803">
              <w:marLeft w:val="0"/>
              <w:marRight w:val="0"/>
              <w:marTop w:val="0"/>
              <w:marBottom w:val="0"/>
              <w:divBdr>
                <w:top w:val="none" w:sz="0" w:space="0" w:color="auto"/>
                <w:left w:val="none" w:sz="0" w:space="0" w:color="auto"/>
                <w:bottom w:val="none" w:sz="0" w:space="0" w:color="auto"/>
                <w:right w:val="none" w:sz="0" w:space="0" w:color="auto"/>
              </w:divBdr>
              <w:divsChild>
                <w:div w:id="1865442275">
                  <w:marLeft w:val="0"/>
                  <w:marRight w:val="0"/>
                  <w:marTop w:val="0"/>
                  <w:marBottom w:val="0"/>
                  <w:divBdr>
                    <w:top w:val="none" w:sz="0" w:space="0" w:color="auto"/>
                    <w:left w:val="none" w:sz="0" w:space="0" w:color="auto"/>
                    <w:bottom w:val="none" w:sz="0" w:space="0" w:color="auto"/>
                    <w:right w:val="none" w:sz="0" w:space="0" w:color="auto"/>
                  </w:divBdr>
                  <w:divsChild>
                    <w:div w:id="8339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www.glamox.com/de/pbs/Produkte/innenbereich/lineare-leuchten/anbau/c77-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19CC-E8F0-4699-B2C4-3ACABB7D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5274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2022-05-18T09:56:00Z</dcterms:created>
  <dcterms:modified xsi:type="dcterms:W3CDTF">2022-05-18T09:56:00Z</dcterms:modified>
</cp:coreProperties>
</file>