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12E0" w14:textId="77777777" w:rsidR="00827CA1" w:rsidRPr="003E475D" w:rsidRDefault="00827CA1" w:rsidP="00B34F62">
      <w:pPr>
        <w:pStyle w:val="TextA"/>
        <w:spacing w:line="288" w:lineRule="auto"/>
        <w:rPr>
          <w:rStyle w:val="Ohne"/>
          <w:rFonts w:ascii="Calibri" w:eastAsia="Arial" w:hAnsi="Calibri" w:cs="Calibri"/>
        </w:rPr>
      </w:pPr>
      <w:r w:rsidRPr="003E475D">
        <w:rPr>
          <w:rStyle w:val="Ohne"/>
          <w:rFonts w:ascii="Calibri" w:hAnsi="Calibri" w:cs="Calibri"/>
        </w:rPr>
        <w:t>Pressemitteilung</w:t>
      </w:r>
    </w:p>
    <w:p w14:paraId="7139C974" w14:textId="77777777" w:rsidR="00827CA1" w:rsidRDefault="00827CA1" w:rsidP="00B34F62">
      <w:pPr>
        <w:pStyle w:val="TextA"/>
        <w:spacing w:line="288" w:lineRule="auto"/>
        <w:rPr>
          <w:rStyle w:val="Ohne"/>
          <w:rFonts w:ascii="Calibri" w:hAnsi="Calibri" w:cs="Calibri"/>
          <w:b/>
          <w:sz w:val="28"/>
          <w:szCs w:val="28"/>
        </w:rPr>
      </w:pPr>
      <w:r>
        <w:rPr>
          <w:rStyle w:val="Ohne"/>
          <w:rFonts w:ascii="Calibri" w:hAnsi="Calibri" w:cs="Calibri"/>
          <w:b/>
          <w:sz w:val="28"/>
          <w:szCs w:val="28"/>
        </w:rPr>
        <w:t>Einstiegs-HMI im 7-Zoll-Format optimiert</w:t>
      </w:r>
    </w:p>
    <w:p w14:paraId="50F25C2E" w14:textId="1A186BE4" w:rsidR="00827CA1" w:rsidRDefault="00827CA1" w:rsidP="00B34F62">
      <w:pPr>
        <w:pStyle w:val="TextA"/>
        <w:spacing w:line="288" w:lineRule="auto"/>
        <w:rPr>
          <w:rStyle w:val="Ohne"/>
          <w:rFonts w:asciiTheme="minorHAnsi" w:hAnsiTheme="minorHAnsi" w:cstheme="minorHAnsi"/>
          <w:i/>
        </w:rPr>
      </w:pPr>
      <w:r w:rsidRPr="00DE7BC5">
        <w:rPr>
          <w:rStyle w:val="Ohne"/>
          <w:rFonts w:asciiTheme="minorHAnsi" w:hAnsiTheme="minorHAnsi" w:cstheme="minorHAnsi"/>
          <w:i/>
        </w:rPr>
        <w:t xml:space="preserve">Neues </w:t>
      </w:r>
      <w:r w:rsidR="00E95A0F">
        <w:rPr>
          <w:rStyle w:val="Ohne"/>
          <w:rFonts w:asciiTheme="minorHAnsi" w:hAnsiTheme="minorHAnsi" w:cstheme="minorHAnsi"/>
          <w:i/>
        </w:rPr>
        <w:t>Human Machine Interface (HMI)</w:t>
      </w:r>
      <w:r w:rsidR="001B6289">
        <w:rPr>
          <w:rStyle w:val="Ohne"/>
          <w:rFonts w:asciiTheme="minorHAnsi" w:hAnsiTheme="minorHAnsi" w:cstheme="minorHAnsi"/>
          <w:i/>
        </w:rPr>
        <w:t xml:space="preserve"> </w:t>
      </w:r>
      <w:r w:rsidRPr="00DE7BC5">
        <w:rPr>
          <w:rStyle w:val="Ohne"/>
          <w:rFonts w:asciiTheme="minorHAnsi" w:hAnsiTheme="minorHAnsi" w:cstheme="minorHAnsi"/>
          <w:i/>
        </w:rPr>
        <w:t xml:space="preserve">von Keith &amp; Koep </w:t>
      </w:r>
      <w:r>
        <w:rPr>
          <w:rStyle w:val="Ohne"/>
          <w:rFonts w:asciiTheme="minorHAnsi" w:hAnsiTheme="minorHAnsi" w:cstheme="minorHAnsi"/>
          <w:i/>
        </w:rPr>
        <w:t>liefert höhere Display-Qualität und bietet eine Vielzahl an Erweiterungs-Schnittstellen bei geringer Bauhöhe</w:t>
      </w:r>
    </w:p>
    <w:p w14:paraId="20A475D9" w14:textId="77777777" w:rsidR="00B34F62" w:rsidRPr="00DE7BC5" w:rsidRDefault="00B34F62" w:rsidP="00B34F62">
      <w:pPr>
        <w:pStyle w:val="TextA"/>
        <w:spacing w:line="288" w:lineRule="auto"/>
        <w:rPr>
          <w:rStyle w:val="Ohne"/>
          <w:rFonts w:asciiTheme="minorHAnsi" w:eastAsia="Arial" w:hAnsiTheme="minorHAnsi" w:cstheme="minorHAnsi"/>
          <w:i/>
        </w:rPr>
      </w:pPr>
    </w:p>
    <w:p w14:paraId="7CC7200E" w14:textId="5926B0E2" w:rsidR="00827CA1" w:rsidRDefault="00827CA1" w:rsidP="00B34F62">
      <w:pPr>
        <w:pStyle w:val="TextA"/>
        <w:spacing w:line="288" w:lineRule="auto"/>
        <w:rPr>
          <w:rStyle w:val="Ohne"/>
          <w:rFonts w:asciiTheme="minorHAnsi" w:hAnsiTheme="minorHAnsi" w:cstheme="minorHAnsi"/>
        </w:rPr>
      </w:pPr>
      <w:r>
        <w:rPr>
          <w:rStyle w:val="Ohne"/>
          <w:rFonts w:asciiTheme="minorHAnsi" w:hAnsiTheme="minorHAnsi" w:cstheme="minorHAnsi"/>
          <w:b/>
        </w:rPr>
        <w:t>Wuppertal</w:t>
      </w:r>
      <w:r w:rsidRPr="002D7E86">
        <w:rPr>
          <w:rStyle w:val="Ohne"/>
          <w:rFonts w:asciiTheme="minorHAnsi" w:hAnsiTheme="minorHAnsi" w:cstheme="minorHAnsi"/>
          <w:b/>
        </w:rPr>
        <w:t xml:space="preserve">, </w:t>
      </w:r>
      <w:r w:rsidR="001D001F">
        <w:rPr>
          <w:rStyle w:val="Ohne"/>
          <w:rFonts w:asciiTheme="minorHAnsi" w:hAnsiTheme="minorHAnsi" w:cstheme="minorHAnsi"/>
          <w:b/>
        </w:rPr>
        <w:t xml:space="preserve">18. </w:t>
      </w:r>
      <w:r>
        <w:rPr>
          <w:rStyle w:val="Ohne"/>
          <w:rFonts w:asciiTheme="minorHAnsi" w:hAnsiTheme="minorHAnsi" w:cstheme="minorHAnsi"/>
          <w:b/>
        </w:rPr>
        <w:t>Februar</w:t>
      </w:r>
      <w:r w:rsidRPr="002D7E86">
        <w:rPr>
          <w:rStyle w:val="Ohne"/>
          <w:rFonts w:asciiTheme="minorHAnsi" w:hAnsiTheme="minorHAnsi" w:cstheme="minorHAnsi"/>
          <w:b/>
        </w:rPr>
        <w:t xml:space="preserve"> 2021 –</w:t>
      </w:r>
      <w:r w:rsidRPr="002D7E86">
        <w:rPr>
          <w:rStyle w:val="Ohne"/>
          <w:rFonts w:asciiTheme="minorHAnsi" w:hAnsiTheme="minorHAnsi" w:cstheme="minorHAnsi"/>
        </w:rPr>
        <w:t xml:space="preserve"> </w:t>
      </w:r>
      <w:bookmarkStart w:id="0" w:name="_Hlk52368771"/>
      <w:r w:rsidRPr="00E247D3">
        <w:rPr>
          <w:rStyle w:val="Ohne"/>
          <w:rFonts w:asciiTheme="minorHAnsi" w:hAnsiTheme="minorHAnsi" w:cstheme="minorHAnsi"/>
        </w:rPr>
        <w:t xml:space="preserve">Keith &amp; Koep, </w:t>
      </w:r>
      <w:r w:rsidR="003F4985">
        <w:rPr>
          <w:rStyle w:val="Ohne"/>
          <w:rFonts w:asciiTheme="minorHAnsi" w:hAnsiTheme="minorHAnsi" w:cstheme="minorHAnsi"/>
        </w:rPr>
        <w:t>ein Unternehmen</w:t>
      </w:r>
      <w:r w:rsidRPr="00E247D3">
        <w:rPr>
          <w:rStyle w:val="Ohne"/>
          <w:rFonts w:asciiTheme="minorHAnsi" w:hAnsiTheme="minorHAnsi" w:cstheme="minorHAnsi"/>
        </w:rPr>
        <w:t xml:space="preserve"> der Garz &amp; Fricke Group, stellt mit dem </w:t>
      </w:r>
      <w:r w:rsidRPr="00E247D3">
        <w:rPr>
          <w:rFonts w:asciiTheme="minorHAnsi" w:hAnsiTheme="minorHAnsi" w:cstheme="minorHAnsi"/>
        </w:rPr>
        <w:t>i-PAN T7 II</w:t>
      </w:r>
      <w:r>
        <w:rPr>
          <w:rFonts w:asciiTheme="minorHAnsi" w:hAnsiTheme="minorHAnsi" w:cstheme="minorHAnsi"/>
        </w:rPr>
        <w:t xml:space="preserve"> </w:t>
      </w:r>
      <w:r w:rsidRPr="00E247D3">
        <w:rPr>
          <w:rStyle w:val="Ohne"/>
          <w:rFonts w:asciiTheme="minorHAnsi" w:hAnsiTheme="minorHAnsi" w:cstheme="minorHAnsi"/>
        </w:rPr>
        <w:t>seine Weiterentwicklung des k</w:t>
      </w:r>
      <w:r w:rsidRPr="005A3A2A">
        <w:rPr>
          <w:rStyle w:val="Ohne"/>
          <w:rFonts w:asciiTheme="minorHAnsi" w:hAnsiTheme="minorHAnsi" w:cstheme="minorHAnsi"/>
        </w:rPr>
        <w:t>ompakte</w:t>
      </w:r>
      <w:r w:rsidRPr="00E247D3">
        <w:rPr>
          <w:rStyle w:val="Ohne"/>
          <w:rFonts w:asciiTheme="minorHAnsi" w:hAnsiTheme="minorHAnsi" w:cstheme="minorHAnsi"/>
        </w:rPr>
        <w:t>n</w:t>
      </w:r>
      <w:r w:rsidRPr="005A3A2A">
        <w:rPr>
          <w:rStyle w:val="Ohne"/>
          <w:rFonts w:asciiTheme="minorHAnsi" w:hAnsiTheme="minorHAnsi" w:cstheme="minorHAnsi"/>
        </w:rPr>
        <w:t xml:space="preserve"> 7.0 Zoll Touchpanel Computer</w:t>
      </w:r>
      <w:r w:rsidR="003F4985">
        <w:rPr>
          <w:rStyle w:val="Ohne"/>
          <w:rFonts w:asciiTheme="minorHAnsi" w:hAnsiTheme="minorHAnsi" w:cstheme="minorHAnsi"/>
        </w:rPr>
        <w:t>s</w:t>
      </w:r>
      <w:r w:rsidRPr="005A3A2A">
        <w:rPr>
          <w:rStyle w:val="Ohne"/>
          <w:rFonts w:asciiTheme="minorHAnsi" w:hAnsiTheme="minorHAnsi" w:cstheme="minorHAnsi"/>
        </w:rPr>
        <w:t xml:space="preserve"> </w:t>
      </w:r>
      <w:r w:rsidRPr="00E247D3">
        <w:rPr>
          <w:rStyle w:val="Ohne"/>
          <w:rFonts w:asciiTheme="minorHAnsi" w:hAnsiTheme="minorHAnsi" w:cstheme="minorHAnsi"/>
        </w:rPr>
        <w:t xml:space="preserve">i-PAN T7 vor. </w:t>
      </w:r>
      <w:r w:rsidR="00E823A5" w:rsidRPr="00E823A5">
        <w:rPr>
          <w:rStyle w:val="Ohne"/>
          <w:rFonts w:asciiTheme="minorHAnsi" w:hAnsiTheme="minorHAnsi" w:cstheme="minorHAnsi"/>
        </w:rPr>
        <w:t>Diese</w:t>
      </w:r>
      <w:r w:rsidR="00F21D1C">
        <w:rPr>
          <w:rStyle w:val="Ohne"/>
          <w:rFonts w:asciiTheme="minorHAnsi" w:hAnsiTheme="minorHAnsi" w:cstheme="minorHAnsi"/>
        </w:rPr>
        <w:t>s kostengünstige, intelligente,</w:t>
      </w:r>
      <w:r w:rsidR="00E823A5" w:rsidRPr="00E823A5">
        <w:rPr>
          <w:rStyle w:val="Ohne"/>
          <w:rFonts w:asciiTheme="minorHAnsi" w:hAnsiTheme="minorHAnsi" w:cstheme="minorHAnsi"/>
        </w:rPr>
        <w:t xml:space="preserve"> ARM basierte Panel</w:t>
      </w:r>
      <w:r w:rsidRPr="00E247D3">
        <w:rPr>
          <w:rStyle w:val="Ohne"/>
          <w:rFonts w:asciiTheme="minorHAnsi" w:hAnsiTheme="minorHAnsi" w:cstheme="minorHAnsi"/>
        </w:rPr>
        <w:t xml:space="preserve"> bietet eine ideale Ausgangsbasis für kundenspezifische </w:t>
      </w:r>
      <w:r w:rsidR="00E823A5" w:rsidRPr="00E823A5">
        <w:rPr>
          <w:rStyle w:val="Ohne"/>
          <w:rFonts w:asciiTheme="minorHAnsi" w:hAnsiTheme="minorHAnsi" w:cstheme="minorHAnsi"/>
        </w:rPr>
        <w:t>HMI-Lösungen</w:t>
      </w:r>
      <w:r w:rsidRPr="00E247D3">
        <w:rPr>
          <w:rStyle w:val="Ohne"/>
          <w:rFonts w:asciiTheme="minorHAnsi" w:hAnsiTheme="minorHAnsi" w:cstheme="minorHAnsi"/>
        </w:rPr>
        <w:t xml:space="preserve">. </w:t>
      </w:r>
      <w:r>
        <w:rPr>
          <w:rStyle w:val="Ohne"/>
          <w:rFonts w:asciiTheme="minorHAnsi" w:hAnsiTheme="minorHAnsi" w:cstheme="minorHAnsi"/>
        </w:rPr>
        <w:t>Die</w:t>
      </w:r>
      <w:r w:rsidRPr="00E247D3">
        <w:rPr>
          <w:rStyle w:val="Ohne"/>
          <w:rFonts w:asciiTheme="minorHAnsi" w:hAnsiTheme="minorHAnsi" w:cstheme="minorHAnsi"/>
        </w:rPr>
        <w:t xml:space="preserve"> </w:t>
      </w:r>
      <w:r>
        <w:rPr>
          <w:rStyle w:val="Ohne"/>
          <w:rFonts w:asciiTheme="minorHAnsi" w:hAnsiTheme="minorHAnsi" w:cstheme="minorHAnsi"/>
        </w:rPr>
        <w:t xml:space="preserve">neue Version erfüllt die gestiegenen Anforderungen an hochauflösende Displays </w:t>
      </w:r>
      <w:r w:rsidR="00E823A5" w:rsidRPr="00E823A5">
        <w:rPr>
          <w:rStyle w:val="Ohne"/>
          <w:rFonts w:asciiTheme="minorHAnsi" w:hAnsiTheme="minorHAnsi" w:cstheme="minorHAnsi"/>
        </w:rPr>
        <w:t>mit besserer Ablesbarkeit (IPS)</w:t>
      </w:r>
      <w:r w:rsidR="00E823A5">
        <w:rPr>
          <w:rStyle w:val="Ohne"/>
          <w:rFonts w:asciiTheme="minorHAnsi" w:hAnsiTheme="minorHAnsi" w:cstheme="minorHAnsi"/>
        </w:rPr>
        <w:t xml:space="preserve"> </w:t>
      </w:r>
      <w:r>
        <w:rPr>
          <w:rStyle w:val="Ohne"/>
          <w:rFonts w:asciiTheme="minorHAnsi" w:hAnsiTheme="minorHAnsi" w:cstheme="minorHAnsi"/>
        </w:rPr>
        <w:t>und</w:t>
      </w:r>
      <w:r w:rsidRPr="00E247D3">
        <w:rPr>
          <w:rStyle w:val="Ohne"/>
          <w:rFonts w:asciiTheme="minorHAnsi" w:hAnsiTheme="minorHAnsi" w:cstheme="minorHAnsi"/>
        </w:rPr>
        <w:t xml:space="preserve"> kann durch die kompakte Bauform</w:t>
      </w:r>
      <w:r>
        <w:rPr>
          <w:rStyle w:val="Ohne"/>
          <w:rFonts w:asciiTheme="minorHAnsi" w:hAnsiTheme="minorHAnsi" w:cstheme="minorHAnsi"/>
        </w:rPr>
        <w:t xml:space="preserve"> und d</w:t>
      </w:r>
      <w:r w:rsidR="003F4985">
        <w:rPr>
          <w:rStyle w:val="Ohne"/>
          <w:rFonts w:asciiTheme="minorHAnsi" w:hAnsiTheme="minorHAnsi" w:cstheme="minorHAnsi"/>
        </w:rPr>
        <w:t>ie</w:t>
      </w:r>
      <w:r>
        <w:rPr>
          <w:rStyle w:val="Ohne"/>
          <w:rFonts w:asciiTheme="minorHAnsi" w:hAnsiTheme="minorHAnsi" w:cstheme="minorHAnsi"/>
        </w:rPr>
        <w:t xml:space="preserve"> geringe Bauhöhe</w:t>
      </w:r>
      <w:r w:rsidRPr="00E247D3">
        <w:rPr>
          <w:rStyle w:val="Ohne"/>
          <w:rFonts w:asciiTheme="minorHAnsi" w:hAnsiTheme="minorHAnsi" w:cstheme="minorHAnsi"/>
        </w:rPr>
        <w:t xml:space="preserve"> sehr schnell und einfach in vorhandene Gehäuse integriert werden</w:t>
      </w:r>
      <w:r>
        <w:rPr>
          <w:rStyle w:val="Ohne"/>
          <w:rFonts w:asciiTheme="minorHAnsi" w:hAnsiTheme="minorHAnsi" w:cstheme="minorHAnsi"/>
        </w:rPr>
        <w:t xml:space="preserve">. </w:t>
      </w:r>
      <w:r w:rsidR="00093CD8">
        <w:rPr>
          <w:rStyle w:val="Ohne"/>
          <w:rFonts w:asciiTheme="minorHAnsi" w:hAnsiTheme="minorHAnsi" w:cstheme="minorHAnsi"/>
        </w:rPr>
        <w:t xml:space="preserve">Der </w:t>
      </w:r>
      <w:r>
        <w:rPr>
          <w:rStyle w:val="Ohne"/>
          <w:rFonts w:asciiTheme="minorHAnsi" w:hAnsiTheme="minorHAnsi" w:cstheme="minorHAnsi"/>
        </w:rPr>
        <w:t>m</w:t>
      </w:r>
      <w:r w:rsidRPr="00E247D3">
        <w:rPr>
          <w:rFonts w:asciiTheme="minorHAnsi" w:hAnsiTheme="minorHAnsi" w:cstheme="minorHAnsi"/>
        </w:rPr>
        <w:t xml:space="preserve">odulare Aufbau durch </w:t>
      </w:r>
      <w:r>
        <w:rPr>
          <w:rFonts w:asciiTheme="minorHAnsi" w:hAnsiTheme="minorHAnsi" w:cstheme="minorHAnsi"/>
        </w:rPr>
        <w:t xml:space="preserve">die </w:t>
      </w:r>
      <w:r w:rsidRPr="00E247D3">
        <w:rPr>
          <w:rFonts w:asciiTheme="minorHAnsi" w:hAnsiTheme="minorHAnsi" w:cstheme="minorHAnsi"/>
        </w:rPr>
        <w:t xml:space="preserve">SOM-Technologie </w:t>
      </w:r>
      <w:r>
        <w:rPr>
          <w:rFonts w:asciiTheme="minorHAnsi" w:hAnsiTheme="minorHAnsi" w:cstheme="minorHAnsi"/>
        </w:rPr>
        <w:t>(</w:t>
      </w:r>
      <w:r w:rsidRPr="00E247D3">
        <w:rPr>
          <w:rFonts w:asciiTheme="minorHAnsi" w:hAnsiTheme="minorHAnsi" w:cstheme="minorHAnsi"/>
        </w:rPr>
        <w:t>Trizeps SODIMM 200 Technologie</w:t>
      </w:r>
      <w:r>
        <w:rPr>
          <w:rFonts w:asciiTheme="minorHAnsi" w:hAnsiTheme="minorHAnsi" w:cstheme="minorHAnsi"/>
        </w:rPr>
        <w:t xml:space="preserve">) sorgt für einfache Upgrades auf aktuelle Prozessor-Generationen. Mit den </w:t>
      </w:r>
      <w:r w:rsidRPr="00E247D3">
        <w:rPr>
          <w:rFonts w:asciiTheme="minorHAnsi" w:hAnsiTheme="minorHAnsi" w:cstheme="minorHAnsi"/>
        </w:rPr>
        <w:t>i-MOD Extension-Boards</w:t>
      </w:r>
      <w:r>
        <w:rPr>
          <w:rFonts w:asciiTheme="minorHAnsi" w:hAnsiTheme="minorHAnsi" w:cstheme="minorHAnsi"/>
        </w:rPr>
        <w:t xml:space="preserve"> sind vielfältige Erweiterungsmöglichkeiten der </w:t>
      </w:r>
      <w:r>
        <w:rPr>
          <w:rStyle w:val="Ohne"/>
          <w:rFonts w:asciiTheme="minorHAnsi" w:hAnsiTheme="minorHAnsi" w:cstheme="minorHAnsi"/>
        </w:rPr>
        <w:t xml:space="preserve">Schnittstellen ganz </w:t>
      </w:r>
      <w:r w:rsidRPr="00E247D3">
        <w:rPr>
          <w:rStyle w:val="Ohne"/>
          <w:rFonts w:asciiTheme="minorHAnsi" w:hAnsiTheme="minorHAnsi" w:cstheme="minorHAnsi"/>
        </w:rPr>
        <w:t>ohne zusätzliche Entwicklungskosten</w:t>
      </w:r>
      <w:r>
        <w:rPr>
          <w:rStyle w:val="Ohne"/>
          <w:rFonts w:asciiTheme="minorHAnsi" w:hAnsiTheme="minorHAnsi" w:cstheme="minorHAnsi"/>
        </w:rPr>
        <w:t xml:space="preserve"> möglich</w:t>
      </w:r>
      <w:r w:rsidRPr="00E247D3">
        <w:rPr>
          <w:rStyle w:val="Ohne"/>
          <w:rFonts w:asciiTheme="minorHAnsi" w:hAnsiTheme="minorHAnsi" w:cstheme="minorHAnsi"/>
        </w:rPr>
        <w:t>.</w:t>
      </w:r>
    </w:p>
    <w:p w14:paraId="7E25C6FF" w14:textId="07D4BABD" w:rsidR="00827CA1" w:rsidRPr="00E247D3" w:rsidRDefault="00827CA1" w:rsidP="00827CA1">
      <w:pPr>
        <w:pStyle w:val="TextA"/>
        <w:spacing w:before="160" w:line="288" w:lineRule="auto"/>
        <w:rPr>
          <w:rFonts w:asciiTheme="minorHAnsi" w:hAnsiTheme="minorHAnsi" w:cstheme="minorHAnsi"/>
        </w:rPr>
      </w:pPr>
      <w:r>
        <w:rPr>
          <w:rStyle w:val="Ohne"/>
          <w:rFonts w:asciiTheme="minorHAnsi" w:hAnsiTheme="minorHAnsi" w:cstheme="minorHAnsi"/>
        </w:rPr>
        <w:t xml:space="preserve">Das </w:t>
      </w:r>
      <w:r w:rsidRPr="00E247D3">
        <w:rPr>
          <w:rFonts w:asciiTheme="minorHAnsi" w:hAnsiTheme="minorHAnsi" w:cstheme="minorHAnsi"/>
        </w:rPr>
        <w:t>i-PAN T7 II</w:t>
      </w:r>
      <w:r>
        <w:rPr>
          <w:rFonts w:asciiTheme="minorHAnsi" w:hAnsiTheme="minorHAnsi" w:cstheme="minorHAnsi"/>
        </w:rPr>
        <w:t xml:space="preserve"> ist speziell für die Steuerung, Datenerfassung und -</w:t>
      </w:r>
      <w:r w:rsidR="00E95A0F">
        <w:rPr>
          <w:rFonts w:asciiTheme="minorHAnsi" w:hAnsiTheme="minorHAnsi" w:cstheme="minorHAnsi"/>
        </w:rPr>
        <w:t xml:space="preserve">verarbeitung </w:t>
      </w:r>
      <w:r>
        <w:rPr>
          <w:rFonts w:asciiTheme="minorHAnsi" w:hAnsiTheme="minorHAnsi" w:cstheme="minorHAnsi"/>
        </w:rPr>
        <w:t xml:space="preserve">im industriellen Umfeld sowie als Panel zur Ausgabe von Bild und Ton konzipiert. So ist es für eine Vielzahl von Anwendungen einsetzbar, zum Beispiel in den Bereichen </w:t>
      </w:r>
      <w:r w:rsidRPr="00E247D3">
        <w:rPr>
          <w:rFonts w:asciiTheme="minorHAnsi" w:hAnsiTheme="minorHAnsi" w:cstheme="minorHAnsi"/>
        </w:rPr>
        <w:t>Industr</w:t>
      </w:r>
      <w:r w:rsidR="003F4985">
        <w:rPr>
          <w:rFonts w:asciiTheme="minorHAnsi" w:hAnsiTheme="minorHAnsi" w:cstheme="minorHAnsi"/>
        </w:rPr>
        <w:t>ie</w:t>
      </w:r>
      <w:r w:rsidRPr="00E247D3">
        <w:rPr>
          <w:rFonts w:asciiTheme="minorHAnsi" w:hAnsiTheme="minorHAnsi" w:cstheme="minorHAnsi"/>
        </w:rPr>
        <w:t xml:space="preserve"> &amp; Energ</w:t>
      </w:r>
      <w:r w:rsidR="003F4985">
        <w:rPr>
          <w:rFonts w:asciiTheme="minorHAnsi" w:hAnsiTheme="minorHAnsi" w:cstheme="minorHAnsi"/>
        </w:rPr>
        <w:t>ie</w:t>
      </w:r>
      <w:r w:rsidRPr="00E247D3">
        <w:rPr>
          <w:rFonts w:asciiTheme="minorHAnsi" w:hAnsiTheme="minorHAnsi" w:cstheme="minorHAnsi"/>
        </w:rPr>
        <w:t xml:space="preserve">, </w:t>
      </w:r>
      <w:r>
        <w:rPr>
          <w:rFonts w:asciiTheme="minorHAnsi" w:hAnsiTheme="minorHAnsi" w:cstheme="minorHAnsi"/>
        </w:rPr>
        <w:t>Labor- und</w:t>
      </w:r>
      <w:r w:rsidRPr="00E247D3">
        <w:rPr>
          <w:rFonts w:asciiTheme="minorHAnsi" w:hAnsiTheme="minorHAnsi" w:cstheme="minorHAnsi"/>
        </w:rPr>
        <w:t xml:space="preserve"> Med</w:t>
      </w:r>
      <w:r>
        <w:rPr>
          <w:rFonts w:asciiTheme="minorHAnsi" w:hAnsiTheme="minorHAnsi" w:cstheme="minorHAnsi"/>
        </w:rPr>
        <w:t>izintechnik</w:t>
      </w:r>
      <w:r w:rsidRPr="00E247D3">
        <w:rPr>
          <w:rFonts w:asciiTheme="minorHAnsi" w:hAnsiTheme="minorHAnsi" w:cstheme="minorHAnsi"/>
        </w:rPr>
        <w:t xml:space="preserve">, </w:t>
      </w:r>
      <w:r w:rsidR="000F6FD5">
        <w:rPr>
          <w:rFonts w:asciiTheme="minorHAnsi" w:hAnsiTheme="minorHAnsi" w:cstheme="minorHAnsi"/>
        </w:rPr>
        <w:t>Gastronomietechnik</w:t>
      </w:r>
      <w:r w:rsidRPr="00E247D3">
        <w:rPr>
          <w:rFonts w:asciiTheme="minorHAnsi" w:hAnsiTheme="minorHAnsi" w:cstheme="minorHAnsi"/>
        </w:rPr>
        <w:t xml:space="preserve">, </w:t>
      </w:r>
      <w:r w:rsidR="000F6FD5">
        <w:rPr>
          <w:rFonts w:asciiTheme="minorHAnsi" w:hAnsiTheme="minorHAnsi" w:cstheme="minorHAnsi"/>
        </w:rPr>
        <w:t>Sicherheits- &amp; Gebäudetechnik</w:t>
      </w:r>
      <w:r w:rsidRPr="00E247D3">
        <w:rPr>
          <w:rFonts w:asciiTheme="minorHAnsi" w:hAnsiTheme="minorHAnsi" w:cstheme="minorHAnsi"/>
        </w:rPr>
        <w:t xml:space="preserve">, </w:t>
      </w:r>
      <w:r w:rsidR="000F6FD5">
        <w:rPr>
          <w:rFonts w:asciiTheme="minorHAnsi" w:hAnsiTheme="minorHAnsi" w:cstheme="minorHAnsi"/>
        </w:rPr>
        <w:t>Verkaufsautomaten</w:t>
      </w:r>
      <w:r>
        <w:rPr>
          <w:rFonts w:asciiTheme="minorHAnsi" w:hAnsiTheme="minorHAnsi" w:cstheme="minorHAnsi"/>
        </w:rPr>
        <w:t xml:space="preserve"> und vielen anderen.</w:t>
      </w:r>
    </w:p>
    <w:p w14:paraId="0A50260B" w14:textId="29A41295" w:rsidR="00827CA1" w:rsidRDefault="00827CA1" w:rsidP="00827CA1">
      <w:pPr>
        <w:pStyle w:val="TextA"/>
        <w:spacing w:before="160" w:line="288" w:lineRule="auto"/>
        <w:rPr>
          <w:rStyle w:val="Ohne"/>
          <w:rFonts w:asciiTheme="minorHAnsi" w:hAnsiTheme="minorHAnsi" w:cstheme="minorHAnsi"/>
        </w:rPr>
      </w:pPr>
      <w:r>
        <w:rPr>
          <w:rStyle w:val="Ohne"/>
          <w:rFonts w:asciiTheme="minorHAnsi" w:hAnsiTheme="minorHAnsi" w:cstheme="minorHAnsi"/>
        </w:rPr>
        <w:t xml:space="preserve">Die </w:t>
      </w:r>
      <w:r w:rsidR="00093CD8">
        <w:rPr>
          <w:rStyle w:val="Ohne"/>
          <w:rFonts w:asciiTheme="minorHAnsi" w:hAnsiTheme="minorHAnsi" w:cstheme="minorHAnsi"/>
        </w:rPr>
        <w:t>erhöhte Anforderung</w:t>
      </w:r>
      <w:r>
        <w:rPr>
          <w:rStyle w:val="Ohne"/>
          <w:rFonts w:asciiTheme="minorHAnsi" w:hAnsiTheme="minorHAnsi" w:cstheme="minorHAnsi"/>
        </w:rPr>
        <w:t xml:space="preserve"> </w:t>
      </w:r>
      <w:r w:rsidR="00093CD8">
        <w:rPr>
          <w:rStyle w:val="Ohne"/>
          <w:rFonts w:asciiTheme="minorHAnsi" w:hAnsiTheme="minorHAnsi" w:cstheme="minorHAnsi"/>
        </w:rPr>
        <w:t xml:space="preserve">an </w:t>
      </w:r>
      <w:r>
        <w:rPr>
          <w:rStyle w:val="Ohne"/>
          <w:rFonts w:asciiTheme="minorHAnsi" w:hAnsiTheme="minorHAnsi" w:cstheme="minorHAnsi"/>
        </w:rPr>
        <w:t xml:space="preserve">Displays im Industriebereich resultiert aus der weit verbreiteten Nutzung von Smartphones, die im Vergleich zu HMI-Lösungen schon seit längerem mit </w:t>
      </w:r>
      <w:r w:rsidR="00585576">
        <w:rPr>
          <w:rStyle w:val="Ohne"/>
          <w:rFonts w:asciiTheme="minorHAnsi" w:hAnsiTheme="minorHAnsi" w:cstheme="minorHAnsi"/>
        </w:rPr>
        <w:t>qualitativ hochwertigen</w:t>
      </w:r>
      <w:r w:rsidR="00D32567">
        <w:rPr>
          <w:rStyle w:val="Ohne"/>
          <w:rFonts w:asciiTheme="minorHAnsi" w:hAnsiTheme="minorHAnsi" w:cstheme="minorHAnsi"/>
        </w:rPr>
        <w:t xml:space="preserve"> </w:t>
      </w:r>
      <w:r>
        <w:rPr>
          <w:rStyle w:val="Ohne"/>
          <w:rFonts w:asciiTheme="minorHAnsi" w:hAnsiTheme="minorHAnsi" w:cstheme="minorHAnsi"/>
        </w:rPr>
        <w:t>Displays ausgestattet sind. Um Anwendern diese Qualität auch für ihre HMI-Lösung</w:t>
      </w:r>
      <w:r w:rsidR="003F4985">
        <w:rPr>
          <w:rStyle w:val="Ohne"/>
          <w:rFonts w:asciiTheme="minorHAnsi" w:hAnsiTheme="minorHAnsi" w:cstheme="minorHAnsi"/>
        </w:rPr>
        <w:t>en</w:t>
      </w:r>
      <w:r>
        <w:rPr>
          <w:rStyle w:val="Ohne"/>
          <w:rFonts w:asciiTheme="minorHAnsi" w:hAnsiTheme="minorHAnsi" w:cstheme="minorHAnsi"/>
        </w:rPr>
        <w:t xml:space="preserve"> zu bieten, ist der i-PAN Panel PC von Keith &amp; Koep weiterentwickelt worden. Die neue Version – i-PAN T7 II – verfügt nun über </w:t>
      </w:r>
      <w:r w:rsidR="00D32567">
        <w:rPr>
          <w:rStyle w:val="Ohne"/>
          <w:rFonts w:asciiTheme="minorHAnsi" w:hAnsiTheme="minorHAnsi" w:cstheme="minorHAnsi"/>
        </w:rPr>
        <w:t xml:space="preserve">eine </w:t>
      </w:r>
      <w:r>
        <w:rPr>
          <w:rStyle w:val="Ohne"/>
          <w:rFonts w:asciiTheme="minorHAnsi" w:hAnsiTheme="minorHAnsi" w:cstheme="minorHAnsi"/>
        </w:rPr>
        <w:t xml:space="preserve">Display-Auflösung von </w:t>
      </w:r>
      <w:r w:rsidRPr="00E247D3">
        <w:rPr>
          <w:rFonts w:asciiTheme="minorHAnsi" w:hAnsiTheme="minorHAnsi" w:cstheme="minorHAnsi"/>
        </w:rPr>
        <w:t>1024 x 600 Pixel</w:t>
      </w:r>
      <w:r>
        <w:rPr>
          <w:rFonts w:asciiTheme="minorHAnsi" w:hAnsiTheme="minorHAnsi" w:cstheme="minorHAnsi"/>
        </w:rPr>
        <w:t xml:space="preserve"> und einer höheren Helligkeit von </w:t>
      </w:r>
      <w:r w:rsidRPr="00E247D3">
        <w:rPr>
          <w:rFonts w:asciiTheme="minorHAnsi" w:hAnsiTheme="minorHAnsi" w:cstheme="minorHAnsi"/>
        </w:rPr>
        <w:t>500 cd/qm</w:t>
      </w:r>
      <w:r>
        <w:rPr>
          <w:rFonts w:asciiTheme="minorHAnsi" w:hAnsiTheme="minorHAnsi" w:cstheme="minorHAnsi"/>
        </w:rPr>
        <w:t>. Im Vergleich zum Vorgängermodel, das eine TN-Technologie</w:t>
      </w:r>
      <w:r w:rsidR="00D32567">
        <w:rPr>
          <w:rFonts w:asciiTheme="minorHAnsi" w:hAnsiTheme="minorHAnsi" w:cstheme="minorHAnsi"/>
        </w:rPr>
        <w:t xml:space="preserve"> (Twisted Nematic)</w:t>
      </w:r>
      <w:r>
        <w:rPr>
          <w:rFonts w:asciiTheme="minorHAnsi" w:hAnsiTheme="minorHAnsi" w:cstheme="minorHAnsi"/>
        </w:rPr>
        <w:t xml:space="preserve"> verwendet, ist die Version II mit IPS-Technologie </w:t>
      </w:r>
      <w:r w:rsidR="00D32567">
        <w:rPr>
          <w:rFonts w:asciiTheme="minorHAnsi" w:hAnsiTheme="minorHAnsi" w:cstheme="minorHAnsi"/>
        </w:rPr>
        <w:t>(I</w:t>
      </w:r>
      <w:r w:rsidR="00D32567" w:rsidRPr="00F21D1C">
        <w:rPr>
          <w:rFonts w:asciiTheme="minorHAnsi" w:hAnsiTheme="minorHAnsi" w:cstheme="minorHAnsi"/>
        </w:rPr>
        <w:t>n-Plane-Switching)</w:t>
      </w:r>
      <w:r w:rsidR="00D32567">
        <w:t xml:space="preserve"> </w:t>
      </w:r>
      <w:r>
        <w:rPr>
          <w:rFonts w:asciiTheme="minorHAnsi" w:hAnsiTheme="minorHAnsi" w:cstheme="minorHAnsi"/>
        </w:rPr>
        <w:t>ausgestattet. Dadurch ist der Blickwinkel auf dem Display von allen Seiten gleich. Auch die Robustheit der Glasscheibe ist erhöht worden und hat jetzt eine Dicke von 1,8 mm. Da die Stecker, z.</w:t>
      </w:r>
      <w:r w:rsidR="00D32567">
        <w:rPr>
          <w:rFonts w:asciiTheme="minorHAnsi" w:hAnsiTheme="minorHAnsi" w:cstheme="minorHAnsi"/>
        </w:rPr>
        <w:t xml:space="preserve"> </w:t>
      </w:r>
      <w:r>
        <w:rPr>
          <w:rFonts w:asciiTheme="minorHAnsi" w:hAnsiTheme="minorHAnsi" w:cstheme="minorHAnsi"/>
        </w:rPr>
        <w:t>B. für Ethernet, USB, Audi</w:t>
      </w:r>
      <w:r w:rsidR="00093CD8">
        <w:rPr>
          <w:rFonts w:asciiTheme="minorHAnsi" w:hAnsiTheme="minorHAnsi" w:cstheme="minorHAnsi"/>
        </w:rPr>
        <w:t>o</w:t>
      </w:r>
      <w:r>
        <w:rPr>
          <w:rFonts w:asciiTheme="minorHAnsi" w:hAnsiTheme="minorHAnsi" w:cstheme="minorHAnsi"/>
        </w:rPr>
        <w:t xml:space="preserve">, beim </w:t>
      </w:r>
      <w:r>
        <w:rPr>
          <w:rStyle w:val="Ohne"/>
          <w:rFonts w:asciiTheme="minorHAnsi" w:hAnsiTheme="minorHAnsi" w:cstheme="minorHAnsi"/>
        </w:rPr>
        <w:t xml:space="preserve">i-PAN T7 II nach innen versetzt wurden und sich an der Unterseite des Gerätes befinden, wird der Einbau erheblich vereinfacht. Ein hochwertigeres Finish erhält die Lösung </w:t>
      </w:r>
      <w:r w:rsidR="00D32567">
        <w:rPr>
          <w:rStyle w:val="Ohne"/>
          <w:rFonts w:asciiTheme="minorHAnsi" w:hAnsiTheme="minorHAnsi" w:cstheme="minorHAnsi"/>
        </w:rPr>
        <w:t>durch ein</w:t>
      </w:r>
      <w:r>
        <w:rPr>
          <w:rStyle w:val="Ohne"/>
          <w:rFonts w:asciiTheme="minorHAnsi" w:hAnsiTheme="minorHAnsi" w:cstheme="minorHAnsi"/>
        </w:rPr>
        <w:t xml:space="preserve"> </w:t>
      </w:r>
      <w:r w:rsidR="00D32567">
        <w:rPr>
          <w:rStyle w:val="Ohne"/>
          <w:rFonts w:asciiTheme="minorHAnsi" w:hAnsiTheme="minorHAnsi" w:cstheme="minorHAnsi"/>
        </w:rPr>
        <w:t xml:space="preserve">langlebiges und widerstandsfähiges </w:t>
      </w:r>
      <w:r>
        <w:rPr>
          <w:rStyle w:val="Ohne"/>
          <w:rFonts w:asciiTheme="minorHAnsi" w:hAnsiTheme="minorHAnsi" w:cstheme="minorHAnsi"/>
        </w:rPr>
        <w:t>Edelstahlgehäuse</w:t>
      </w:r>
      <w:r w:rsidR="00D32567">
        <w:rPr>
          <w:rStyle w:val="Ohne"/>
          <w:rFonts w:asciiTheme="minorHAnsi" w:hAnsiTheme="minorHAnsi" w:cstheme="minorHAnsi"/>
        </w:rPr>
        <w:t>.</w:t>
      </w:r>
    </w:p>
    <w:p w14:paraId="3FD01BC9" w14:textId="174B5067" w:rsidR="00827CA1" w:rsidRPr="00F477B3" w:rsidRDefault="00827CA1" w:rsidP="00827CA1">
      <w:pPr>
        <w:pStyle w:val="TextA"/>
        <w:spacing w:before="160" w:line="288" w:lineRule="auto"/>
        <w:rPr>
          <w:rFonts w:asciiTheme="minorHAnsi" w:hAnsiTheme="minorHAnsi" w:cstheme="minorHAnsi"/>
        </w:rPr>
      </w:pPr>
      <w:r w:rsidRPr="00F477B3">
        <w:rPr>
          <w:rStyle w:val="Ohne"/>
          <w:rFonts w:asciiTheme="minorHAnsi" w:hAnsiTheme="minorHAnsi" w:cstheme="minorHAnsi"/>
        </w:rPr>
        <w:t xml:space="preserve">Das i-PAN T7 II bietet durch den Einsatz einer </w:t>
      </w:r>
      <w:r w:rsidRPr="00F477B3">
        <w:rPr>
          <w:rFonts w:asciiTheme="minorHAnsi" w:hAnsiTheme="minorHAnsi" w:cstheme="minorHAnsi"/>
        </w:rPr>
        <w:t xml:space="preserve">ARM Cortex A53 Quad-Core CPU eine sehr hohe Performance und ist individuell konfigurierbar. Die Lösung ist für die Betriebssysteme Android, Linux und Windows 10 </w:t>
      </w:r>
      <w:r w:rsidR="00E823A5">
        <w:rPr>
          <w:rFonts w:asciiTheme="minorHAnsi" w:hAnsiTheme="minorHAnsi" w:cstheme="minorHAnsi"/>
        </w:rPr>
        <w:t>(</w:t>
      </w:r>
      <w:r w:rsidRPr="00F477B3">
        <w:rPr>
          <w:rFonts w:asciiTheme="minorHAnsi" w:hAnsiTheme="minorHAnsi" w:cstheme="minorHAnsi"/>
        </w:rPr>
        <w:t>IoT</w:t>
      </w:r>
      <w:r w:rsidR="00E823A5">
        <w:rPr>
          <w:rFonts w:asciiTheme="minorHAnsi" w:hAnsiTheme="minorHAnsi" w:cstheme="minorHAnsi"/>
        </w:rPr>
        <w:t>)</w:t>
      </w:r>
      <w:r w:rsidRPr="00F477B3">
        <w:rPr>
          <w:rFonts w:asciiTheme="minorHAnsi" w:hAnsiTheme="minorHAnsi" w:cstheme="minorHAnsi"/>
        </w:rPr>
        <w:t xml:space="preserve"> verfügbar. In kleiner Serie ist das </w:t>
      </w:r>
      <w:r w:rsidRPr="00F477B3">
        <w:rPr>
          <w:rStyle w:val="Ohne"/>
          <w:rFonts w:asciiTheme="minorHAnsi" w:hAnsiTheme="minorHAnsi" w:cstheme="minorHAnsi"/>
        </w:rPr>
        <w:t xml:space="preserve">i-PAN T7 II ab sofort </w:t>
      </w:r>
      <w:r>
        <w:rPr>
          <w:rStyle w:val="Ohne"/>
          <w:rFonts w:asciiTheme="minorHAnsi" w:hAnsiTheme="minorHAnsi" w:cstheme="minorHAnsi"/>
        </w:rPr>
        <w:t>erhältlich</w:t>
      </w:r>
      <w:r w:rsidRPr="00F477B3">
        <w:rPr>
          <w:rStyle w:val="Ohne"/>
          <w:rFonts w:asciiTheme="minorHAnsi" w:hAnsiTheme="minorHAnsi" w:cstheme="minorHAnsi"/>
        </w:rPr>
        <w:t xml:space="preserve">. Größere Mengen können ab April 2021 </w:t>
      </w:r>
      <w:r w:rsidRPr="00F477B3">
        <w:rPr>
          <w:rFonts w:asciiTheme="minorHAnsi" w:hAnsiTheme="minorHAnsi" w:cstheme="minorHAnsi"/>
        </w:rPr>
        <w:t xml:space="preserve">bei Keith &amp; Koep </w:t>
      </w:r>
      <w:r>
        <w:rPr>
          <w:rFonts w:asciiTheme="minorHAnsi" w:hAnsiTheme="minorHAnsi" w:cstheme="minorHAnsi"/>
        </w:rPr>
        <w:t>geordert</w:t>
      </w:r>
      <w:r w:rsidRPr="00F477B3">
        <w:rPr>
          <w:rFonts w:asciiTheme="minorHAnsi" w:hAnsiTheme="minorHAnsi" w:cstheme="minorHAnsi"/>
        </w:rPr>
        <w:t xml:space="preserve"> werden.</w:t>
      </w:r>
    </w:p>
    <w:p w14:paraId="2DC6B2CE" w14:textId="77777777" w:rsidR="00827CA1" w:rsidRPr="00E247D3" w:rsidRDefault="00827CA1" w:rsidP="00827CA1">
      <w:pPr>
        <w:spacing w:line="288" w:lineRule="auto"/>
        <w:rPr>
          <w:rFonts w:asciiTheme="minorHAnsi" w:hAnsiTheme="minorHAnsi" w:cstheme="minorHAnsi"/>
          <w:b/>
          <w:sz w:val="22"/>
          <w:szCs w:val="22"/>
        </w:rPr>
      </w:pPr>
      <w:r>
        <w:rPr>
          <w:rFonts w:asciiTheme="minorHAnsi" w:hAnsiTheme="minorHAnsi" w:cstheme="minorHAnsi"/>
          <w:b/>
          <w:sz w:val="22"/>
          <w:szCs w:val="22"/>
        </w:rPr>
        <w:t xml:space="preserve">Technische Features des </w:t>
      </w:r>
      <w:r w:rsidRPr="009C6DD8">
        <w:rPr>
          <w:rFonts w:asciiTheme="minorHAnsi" w:hAnsiTheme="minorHAnsi" w:cstheme="minorHAnsi"/>
          <w:b/>
          <w:sz w:val="22"/>
          <w:szCs w:val="22"/>
        </w:rPr>
        <w:t>i-PAN T7 II</w:t>
      </w:r>
    </w:p>
    <w:p w14:paraId="3AC658EF" w14:textId="77777777" w:rsidR="00827CA1" w:rsidRPr="005A2EE7" w:rsidRDefault="00827CA1" w:rsidP="00827CA1">
      <w:pPr>
        <w:pStyle w:val="Listenabsatz"/>
        <w:numPr>
          <w:ilvl w:val="0"/>
          <w:numId w:val="1"/>
        </w:numPr>
        <w:spacing w:before="160" w:after="0" w:line="288" w:lineRule="auto"/>
        <w:rPr>
          <w:rFonts w:cstheme="minorHAnsi"/>
        </w:rPr>
      </w:pPr>
      <w:r w:rsidRPr="005A2EE7">
        <w:rPr>
          <w:rFonts w:cstheme="minorHAnsi"/>
        </w:rPr>
        <w:t>Prozessor: NXP i.MX 8M Mini ARM Cortex A53 Quad-Core bis 1.8 GHz, integrierter ARM Cortex M4</w:t>
      </w:r>
    </w:p>
    <w:p w14:paraId="664EA954" w14:textId="77777777" w:rsidR="00827CA1" w:rsidRPr="005A2EE7" w:rsidRDefault="00827CA1" w:rsidP="00827CA1">
      <w:pPr>
        <w:pStyle w:val="Listenabsatz"/>
        <w:numPr>
          <w:ilvl w:val="0"/>
          <w:numId w:val="1"/>
        </w:numPr>
        <w:spacing w:before="160" w:after="0" w:line="288" w:lineRule="auto"/>
        <w:rPr>
          <w:rFonts w:cstheme="minorHAnsi"/>
        </w:rPr>
      </w:pPr>
      <w:r w:rsidRPr="005A2EE7">
        <w:rPr>
          <w:rFonts w:cstheme="minorHAnsi"/>
        </w:rPr>
        <w:t>Arbeitsspeicher: Bis 8 GByte LPDDR4-3200 RAM, 32 Bit</w:t>
      </w:r>
    </w:p>
    <w:p w14:paraId="72C2F9EB" w14:textId="77777777" w:rsidR="00827CA1" w:rsidRPr="005A2EE7" w:rsidRDefault="00827CA1" w:rsidP="00827CA1">
      <w:pPr>
        <w:pStyle w:val="Listenabsatz"/>
        <w:numPr>
          <w:ilvl w:val="0"/>
          <w:numId w:val="1"/>
        </w:numPr>
        <w:spacing w:before="160" w:after="0" w:line="288" w:lineRule="auto"/>
        <w:rPr>
          <w:rFonts w:cstheme="minorHAnsi"/>
        </w:rPr>
      </w:pPr>
      <w:r w:rsidRPr="005A2EE7">
        <w:rPr>
          <w:rFonts w:cstheme="minorHAnsi"/>
        </w:rPr>
        <w:t>Flashspeicher: Onboard μSD Kartensockel mit 4 Bit Busbreite für μSD-Karten oder Onboard eMMC mit 8 Bit Busbreite (nicht gleichzeitig verfügbar), eMMC in verschiedenen Speichergrößen erhältlich</w:t>
      </w:r>
    </w:p>
    <w:p w14:paraId="3CFA969F" w14:textId="10CC851B" w:rsidR="00827CA1" w:rsidRDefault="00827CA1" w:rsidP="00827CA1">
      <w:pPr>
        <w:spacing w:line="288" w:lineRule="auto"/>
        <w:rPr>
          <w:rFonts w:asciiTheme="minorHAnsi" w:hAnsiTheme="minorHAnsi" w:cstheme="minorHAnsi"/>
          <w:sz w:val="22"/>
          <w:szCs w:val="22"/>
        </w:rPr>
      </w:pPr>
    </w:p>
    <w:p w14:paraId="74711B1D" w14:textId="0C7DA417" w:rsidR="00827CA1" w:rsidRPr="005A2EE7" w:rsidRDefault="00827CA1" w:rsidP="00E823A5">
      <w:pPr>
        <w:pStyle w:val="Listenabsatz"/>
        <w:numPr>
          <w:ilvl w:val="0"/>
          <w:numId w:val="1"/>
        </w:numPr>
        <w:spacing w:before="160" w:after="0" w:line="288" w:lineRule="auto"/>
        <w:rPr>
          <w:rFonts w:cstheme="minorHAnsi"/>
        </w:rPr>
      </w:pPr>
      <w:r w:rsidRPr="005A2EE7">
        <w:rPr>
          <w:rFonts w:cstheme="minorHAnsi"/>
        </w:rPr>
        <w:t>Schnittstellen: USB2.0 Host, μUSB2.0 OTG, RJ45 10/100/1000 Mbit Ethernet</w:t>
      </w:r>
      <w:r w:rsidR="00E823A5">
        <w:rPr>
          <w:rFonts w:cstheme="minorHAnsi"/>
        </w:rPr>
        <w:t xml:space="preserve"> </w:t>
      </w:r>
      <w:r w:rsidR="00E823A5" w:rsidRPr="00E823A5">
        <w:rPr>
          <w:rFonts w:cstheme="minorHAnsi"/>
        </w:rPr>
        <w:t xml:space="preserve">mit optionalem POE </w:t>
      </w:r>
      <w:r w:rsidR="00554F67">
        <w:rPr>
          <w:rFonts w:cstheme="minorHAnsi"/>
        </w:rPr>
        <w:t>Versorgungsm</w:t>
      </w:r>
      <w:r w:rsidR="00E823A5" w:rsidRPr="00E823A5">
        <w:rPr>
          <w:rFonts w:cstheme="minorHAnsi"/>
        </w:rPr>
        <w:t>odul</w:t>
      </w:r>
      <w:r w:rsidRPr="005A2EE7">
        <w:rPr>
          <w:rFonts w:cstheme="minorHAnsi"/>
        </w:rPr>
        <w:t>, μSD Kartensockel, 3,5 mm Headset-Klinkenbuchse, für Mikrofon and Kopfhörer, Realtime Clock mit Backup Batterie, LED, Powerfail-Erkennung</w:t>
      </w:r>
    </w:p>
    <w:p w14:paraId="322A2112" w14:textId="77777777" w:rsidR="00827CA1" w:rsidRPr="005A2EE7" w:rsidRDefault="00827CA1" w:rsidP="00827CA1">
      <w:pPr>
        <w:pStyle w:val="Listenabsatz"/>
        <w:numPr>
          <w:ilvl w:val="0"/>
          <w:numId w:val="1"/>
        </w:numPr>
        <w:spacing w:before="160" w:after="0" w:line="288" w:lineRule="auto"/>
        <w:rPr>
          <w:rFonts w:cstheme="minorHAnsi"/>
        </w:rPr>
      </w:pPr>
      <w:r w:rsidRPr="005A2EE7">
        <w:rPr>
          <w:rFonts w:cstheme="minorHAnsi"/>
        </w:rPr>
        <w:t>Drahtlose Kommunikation (auf Anfrage): Onboard WLAN-Bluetooth Modul, WLAN 2.4GHz/5Ghz, 802.11 a/b/g/n/ac 2x2 MU-MIMO / Bluetooth 5.0</w:t>
      </w:r>
    </w:p>
    <w:p w14:paraId="15437AFF" w14:textId="77777777" w:rsidR="00827CA1" w:rsidRPr="005A2EE7" w:rsidRDefault="00827CA1" w:rsidP="00827CA1">
      <w:pPr>
        <w:pStyle w:val="Listenabsatz"/>
        <w:numPr>
          <w:ilvl w:val="0"/>
          <w:numId w:val="1"/>
        </w:numPr>
        <w:spacing w:before="160" w:after="0" w:line="288" w:lineRule="auto"/>
        <w:rPr>
          <w:rFonts w:cstheme="minorHAnsi"/>
        </w:rPr>
      </w:pPr>
      <w:r w:rsidRPr="005A2EE7">
        <w:rPr>
          <w:rFonts w:cstheme="minorHAnsi"/>
        </w:rPr>
        <w:t>Erweiterungs-Schnittstellen: FFC-Steckverbinder mit USB, I2C, UART, CAN, Keys, MIPI Kamera / Lötkontakte für SPI, Lautsprecher (2,6 W Audio-Verstärker), Kopfhörer, Mikrofon</w:t>
      </w:r>
    </w:p>
    <w:bookmarkEnd w:id="0"/>
    <w:p w14:paraId="58D238BD" w14:textId="77777777" w:rsidR="00827CA1" w:rsidRDefault="00827CA1" w:rsidP="00827CA1">
      <w:pPr>
        <w:pStyle w:val="TextA"/>
        <w:spacing w:line="288" w:lineRule="auto"/>
        <w:rPr>
          <w:rStyle w:val="Ohne"/>
          <w:rFonts w:ascii="Calibri" w:hAnsi="Calibri" w:cs="Calibri"/>
        </w:rPr>
      </w:pPr>
    </w:p>
    <w:p w14:paraId="13D79C08" w14:textId="77777777" w:rsidR="00827CA1" w:rsidRPr="003E475D" w:rsidRDefault="00827CA1" w:rsidP="00827CA1">
      <w:pPr>
        <w:pStyle w:val="TextA"/>
        <w:spacing w:line="288" w:lineRule="auto"/>
        <w:rPr>
          <w:rStyle w:val="Ohne"/>
          <w:rFonts w:ascii="Calibri" w:hAnsi="Calibri" w:cs="Calibri"/>
        </w:rPr>
      </w:pPr>
      <w:r w:rsidRPr="003E475D">
        <w:rPr>
          <w:rStyle w:val="Ohne"/>
          <w:rFonts w:ascii="Calibri" w:hAnsi="Calibri" w:cs="Calibri"/>
        </w:rPr>
        <w:t>------------------------------------------------------------------------------------------------------</w:t>
      </w:r>
      <w:r>
        <w:rPr>
          <w:rStyle w:val="Ohne"/>
          <w:rFonts w:ascii="Calibri" w:hAnsi="Calibri" w:cs="Calibri"/>
        </w:rPr>
        <w:t>-----------------------------</w:t>
      </w:r>
    </w:p>
    <w:p w14:paraId="51898B90" w14:textId="77777777" w:rsidR="00827CA1" w:rsidRPr="003E475D" w:rsidRDefault="00827CA1" w:rsidP="00827CA1">
      <w:pPr>
        <w:pStyle w:val="TextA"/>
        <w:rPr>
          <w:rStyle w:val="Ohne"/>
          <w:rFonts w:ascii="Calibri" w:hAnsi="Calibri" w:cs="Calibri"/>
        </w:rPr>
      </w:pPr>
      <w:r w:rsidRPr="003E475D">
        <w:rPr>
          <w:rStyle w:val="Ohne"/>
          <w:rFonts w:ascii="Calibri" w:hAnsi="Calibri" w:cs="Calibri"/>
        </w:rPr>
        <w:t>Ihr Kontakt für Presse und Marketing:</w:t>
      </w:r>
      <w:r w:rsidRPr="003E475D">
        <w:rPr>
          <w:rStyle w:val="Ohne"/>
          <w:rFonts w:ascii="Calibri" w:hAnsi="Calibri" w:cs="Calibri"/>
        </w:rPr>
        <w:br/>
        <w:t>Steven Kluge</w:t>
      </w:r>
    </w:p>
    <w:p w14:paraId="24BBF70B" w14:textId="77777777" w:rsidR="00827CA1" w:rsidRPr="008068AE" w:rsidRDefault="00827CA1" w:rsidP="00827CA1">
      <w:pPr>
        <w:pStyle w:val="TextA"/>
        <w:rPr>
          <w:rStyle w:val="Ohne"/>
          <w:rFonts w:ascii="Calibri" w:hAnsi="Calibri" w:cs="Calibri"/>
          <w:lang w:val="en-US"/>
        </w:rPr>
      </w:pPr>
      <w:r w:rsidRPr="008068AE">
        <w:rPr>
          <w:rStyle w:val="Ohne"/>
          <w:rFonts w:ascii="Calibri" w:hAnsi="Calibri" w:cs="Calibri"/>
          <w:lang w:val="en-US"/>
        </w:rPr>
        <w:t>Head of Marketing</w:t>
      </w:r>
    </w:p>
    <w:p w14:paraId="5A0131C4" w14:textId="77777777" w:rsidR="00827CA1" w:rsidRPr="008068AE" w:rsidRDefault="00827CA1" w:rsidP="00827CA1">
      <w:pPr>
        <w:pStyle w:val="TextA"/>
        <w:rPr>
          <w:rStyle w:val="Ohne"/>
          <w:rFonts w:ascii="Calibri" w:hAnsi="Calibri" w:cs="Calibri"/>
          <w:lang w:val="en-US"/>
        </w:rPr>
      </w:pPr>
      <w:r w:rsidRPr="008068AE">
        <w:rPr>
          <w:rStyle w:val="Ohne"/>
          <w:rFonts w:ascii="Calibri" w:hAnsi="Calibri" w:cs="Calibri"/>
          <w:lang w:val="en-US"/>
        </w:rPr>
        <w:t xml:space="preserve">Garz &amp; Fricke </w:t>
      </w:r>
      <w:r>
        <w:rPr>
          <w:rStyle w:val="Ohne"/>
          <w:rFonts w:ascii="Calibri" w:hAnsi="Calibri" w:cs="Calibri"/>
          <w:lang w:val="en-US"/>
        </w:rPr>
        <w:t>Group</w:t>
      </w:r>
    </w:p>
    <w:p w14:paraId="7ADF250F" w14:textId="77777777" w:rsidR="00827CA1" w:rsidRPr="003E475D" w:rsidRDefault="00827CA1" w:rsidP="00827CA1">
      <w:pPr>
        <w:pStyle w:val="TextA"/>
        <w:rPr>
          <w:rStyle w:val="Ohne"/>
          <w:rFonts w:ascii="Calibri" w:hAnsi="Calibri" w:cs="Calibri"/>
        </w:rPr>
      </w:pPr>
      <w:r w:rsidRPr="003E475D">
        <w:rPr>
          <w:rStyle w:val="Ohne"/>
          <w:rFonts w:ascii="Calibri" w:hAnsi="Calibri" w:cs="Calibri"/>
        </w:rPr>
        <w:t xml:space="preserve">Schlachthofstrasse 20 </w:t>
      </w:r>
    </w:p>
    <w:p w14:paraId="5D9DB020" w14:textId="77777777" w:rsidR="00827CA1" w:rsidRPr="003E475D" w:rsidRDefault="00827CA1" w:rsidP="00827CA1">
      <w:pPr>
        <w:pStyle w:val="TextA"/>
        <w:rPr>
          <w:rStyle w:val="Ohne"/>
          <w:rFonts w:ascii="Calibri" w:hAnsi="Calibri" w:cs="Calibri"/>
        </w:rPr>
      </w:pPr>
      <w:r w:rsidRPr="003E475D">
        <w:rPr>
          <w:rStyle w:val="Ohne"/>
          <w:rFonts w:ascii="Calibri" w:hAnsi="Calibri" w:cs="Calibri"/>
        </w:rPr>
        <w:t>21079 Hamburg</w:t>
      </w:r>
    </w:p>
    <w:p w14:paraId="057AA940" w14:textId="77777777" w:rsidR="00827CA1" w:rsidRPr="003E475D" w:rsidRDefault="00827CA1" w:rsidP="00827CA1">
      <w:pPr>
        <w:pStyle w:val="TextA"/>
        <w:rPr>
          <w:rStyle w:val="Ohne"/>
          <w:rFonts w:ascii="Calibri" w:hAnsi="Calibri" w:cs="Calibri"/>
        </w:rPr>
      </w:pPr>
      <w:r w:rsidRPr="003E475D">
        <w:rPr>
          <w:rStyle w:val="Ohne"/>
          <w:rFonts w:ascii="Calibri" w:hAnsi="Calibri" w:cs="Calibri"/>
        </w:rPr>
        <w:t>Direct: +49 40 791899 – 267</w:t>
      </w:r>
    </w:p>
    <w:p w14:paraId="4DBBA5C3" w14:textId="77777777" w:rsidR="00827CA1" w:rsidRPr="003E475D" w:rsidRDefault="00827CA1" w:rsidP="00827CA1">
      <w:pPr>
        <w:pStyle w:val="TextA"/>
        <w:rPr>
          <w:rStyle w:val="Ohne"/>
          <w:rFonts w:ascii="Calibri" w:hAnsi="Calibri" w:cs="Calibri"/>
        </w:rPr>
      </w:pPr>
      <w:r w:rsidRPr="003E475D">
        <w:rPr>
          <w:rStyle w:val="Ohne"/>
          <w:rFonts w:ascii="Calibri" w:hAnsi="Calibri" w:cs="Calibri"/>
        </w:rPr>
        <w:t xml:space="preserve">E-Mail: </w:t>
      </w:r>
      <w:hyperlink r:id="rId7" w:history="1">
        <w:r w:rsidRPr="003E475D">
          <w:rPr>
            <w:rStyle w:val="Hyperlink"/>
            <w:rFonts w:ascii="Calibri" w:hAnsi="Calibri" w:cs="Calibri"/>
          </w:rPr>
          <w:t>steven.kluge@garz-fricke.com</w:t>
        </w:r>
      </w:hyperlink>
      <w:r w:rsidRPr="003E475D">
        <w:rPr>
          <w:rStyle w:val="Ohne"/>
          <w:rFonts w:ascii="Calibri" w:hAnsi="Calibri" w:cs="Calibri"/>
        </w:rPr>
        <w:t xml:space="preserve">  </w:t>
      </w:r>
    </w:p>
    <w:p w14:paraId="32D2F572" w14:textId="77777777" w:rsidR="00827CA1" w:rsidRDefault="00827CA1" w:rsidP="00827CA1">
      <w:pPr>
        <w:pStyle w:val="TextA"/>
        <w:rPr>
          <w:rStyle w:val="Ohne"/>
          <w:rFonts w:ascii="Calibri" w:hAnsi="Calibri" w:cs="Calibri"/>
        </w:rPr>
      </w:pPr>
      <w:r w:rsidRPr="003E475D">
        <w:rPr>
          <w:rStyle w:val="Ohne"/>
          <w:rFonts w:ascii="Calibri" w:hAnsi="Calibri" w:cs="Calibri"/>
        </w:rPr>
        <w:t xml:space="preserve">Web: </w:t>
      </w:r>
      <w:hyperlink r:id="rId8" w:history="1">
        <w:r w:rsidRPr="006731E2">
          <w:rPr>
            <w:rStyle w:val="Hyperlink"/>
            <w:rFonts w:ascii="Calibri" w:hAnsi="Calibri" w:cs="Calibri"/>
          </w:rPr>
          <w:t>http://www.keith-koep.com</w:t>
        </w:r>
      </w:hyperlink>
      <w:r w:rsidRPr="003E475D">
        <w:rPr>
          <w:rStyle w:val="Ohne"/>
          <w:rFonts w:ascii="Calibri" w:hAnsi="Calibri" w:cs="Calibri"/>
        </w:rPr>
        <w:t xml:space="preserve">    </w:t>
      </w:r>
    </w:p>
    <w:p w14:paraId="621ED474" w14:textId="77777777" w:rsidR="00827CA1" w:rsidRDefault="00827CA1" w:rsidP="00827CA1">
      <w:pPr>
        <w:pStyle w:val="TextA"/>
        <w:rPr>
          <w:rStyle w:val="Ohne"/>
          <w:rFonts w:ascii="Calibri" w:hAnsi="Calibri" w:cs="Calibri"/>
        </w:rPr>
      </w:pPr>
    </w:p>
    <w:p w14:paraId="53C94F44" w14:textId="77777777" w:rsidR="00827CA1" w:rsidRDefault="00827CA1" w:rsidP="00827CA1">
      <w:pPr>
        <w:pStyle w:val="TextA"/>
        <w:spacing w:line="276" w:lineRule="auto"/>
        <w:rPr>
          <w:rStyle w:val="Ohne"/>
          <w:rFonts w:ascii="Calibri" w:hAnsi="Calibri" w:cs="Calibri"/>
        </w:rPr>
      </w:pPr>
    </w:p>
    <w:p w14:paraId="2C9332E0" w14:textId="77777777" w:rsidR="003418C3" w:rsidRPr="00AF49F6" w:rsidRDefault="003418C3" w:rsidP="003418C3">
      <w:pPr>
        <w:pStyle w:val="TextA"/>
        <w:spacing w:line="276" w:lineRule="auto"/>
        <w:rPr>
          <w:rStyle w:val="Ohne"/>
          <w:rFonts w:ascii="Calibri" w:hAnsi="Calibri" w:cs="Calibri"/>
          <w:b/>
        </w:rPr>
      </w:pPr>
      <w:r w:rsidRPr="00AF49F6">
        <w:rPr>
          <w:rStyle w:val="Ohne"/>
          <w:rFonts w:ascii="Calibri" w:hAnsi="Calibri" w:cs="Calibri"/>
          <w:b/>
        </w:rPr>
        <w:t>Keith &amp; Koep</w:t>
      </w:r>
      <w:r w:rsidRPr="001A1CCF">
        <w:rPr>
          <w:rStyle w:val="Ohne"/>
          <w:rFonts w:ascii="Calibri" w:hAnsi="Calibri" w:cs="Calibri"/>
          <w:b/>
        </w:rPr>
        <w:t xml:space="preserve"> — </w:t>
      </w:r>
      <w:r w:rsidRPr="00AF49F6">
        <w:rPr>
          <w:rStyle w:val="Ohne"/>
          <w:rFonts w:ascii="Calibri" w:hAnsi="Calibri" w:cs="Calibri"/>
          <w:b/>
        </w:rPr>
        <w:t>über uns</w:t>
      </w:r>
    </w:p>
    <w:p w14:paraId="26138123" w14:textId="77777777" w:rsidR="003418C3" w:rsidRDefault="003418C3" w:rsidP="003418C3">
      <w:pPr>
        <w:pStyle w:val="TextA"/>
        <w:spacing w:line="276" w:lineRule="auto"/>
        <w:rPr>
          <w:rStyle w:val="Ohne"/>
          <w:rFonts w:ascii="Calibri" w:hAnsi="Calibri" w:cs="Calibri"/>
        </w:rPr>
      </w:pPr>
      <w:r>
        <w:rPr>
          <w:rStyle w:val="Ohne"/>
          <w:rFonts w:ascii="Calibri" w:hAnsi="Calibri" w:cs="Calibri"/>
        </w:rPr>
        <w:t xml:space="preserve">Die </w:t>
      </w:r>
      <w:r w:rsidRPr="00E3135D">
        <w:rPr>
          <w:rStyle w:val="Ohne"/>
          <w:rFonts w:ascii="Calibri" w:hAnsi="Calibri" w:cs="Calibri"/>
        </w:rPr>
        <w:t xml:space="preserve">Keith &amp; Koep </w:t>
      </w:r>
      <w:r>
        <w:rPr>
          <w:rStyle w:val="Ohne"/>
          <w:rFonts w:ascii="Calibri" w:hAnsi="Calibri" w:cs="Calibri"/>
        </w:rPr>
        <w:t xml:space="preserve">GmbH, mit Standort in Wuppertal, </w:t>
      </w:r>
      <w:r w:rsidRPr="00E3135D">
        <w:rPr>
          <w:rStyle w:val="Ohne"/>
          <w:rFonts w:ascii="Calibri" w:hAnsi="Calibri" w:cs="Calibri"/>
        </w:rPr>
        <w:t>ist auf Embedded-Rechnersysteme spezialisiert und hier einer der führenden Anbieter in den Bereichen Elektronikentwicklung, Systemintegration und in der Fertigung von komplexen elektronischen Produkten. Mit dem Trizeps Sortiment hat Keith &amp; Koep die weltweit ersten ARM-basierten System On Modules (SOM) auf den Markt gebracht. Diese Idee entwickelte sich zu einem internationalen Industriestandard. Die Stärken liegen in der Zuverlässigkeit, der Flexibilität und im Versprechen, Produkte durch SOMs innovationsfähig und gleichzeitig langlebig zu machen.</w:t>
      </w:r>
    </w:p>
    <w:p w14:paraId="554DD350" w14:textId="77777777" w:rsidR="003418C3" w:rsidRPr="003E475D" w:rsidRDefault="003418C3" w:rsidP="003418C3">
      <w:pPr>
        <w:pStyle w:val="TextA"/>
        <w:spacing w:line="276" w:lineRule="auto"/>
        <w:rPr>
          <w:rStyle w:val="Ohne"/>
          <w:rFonts w:ascii="Calibri" w:hAnsi="Calibri" w:cs="Calibri"/>
        </w:rPr>
      </w:pPr>
    </w:p>
    <w:p w14:paraId="25B0755D" w14:textId="470D7454" w:rsidR="003418C3" w:rsidRPr="003E475D" w:rsidRDefault="003418C3" w:rsidP="003418C3">
      <w:pPr>
        <w:pStyle w:val="TextA"/>
        <w:spacing w:line="276" w:lineRule="auto"/>
        <w:rPr>
          <w:rStyle w:val="Ohne"/>
          <w:rFonts w:ascii="Calibri" w:hAnsi="Calibri" w:cs="Calibri"/>
        </w:rPr>
      </w:pPr>
      <w:r w:rsidRPr="003E475D">
        <w:rPr>
          <w:rStyle w:val="Ohne"/>
          <w:rFonts w:ascii="Calibri" w:hAnsi="Calibri" w:cs="Calibri"/>
        </w:rPr>
        <w:t xml:space="preserve">Keith &amp; Koep </w:t>
      </w:r>
      <w:r>
        <w:rPr>
          <w:rStyle w:val="Ohne"/>
          <w:rFonts w:ascii="Calibri" w:hAnsi="Calibri" w:cs="Calibri"/>
        </w:rPr>
        <w:t>ist Teil der</w:t>
      </w:r>
      <w:r w:rsidRPr="003E475D">
        <w:rPr>
          <w:rStyle w:val="Ohne"/>
          <w:rFonts w:ascii="Calibri" w:hAnsi="Calibri" w:cs="Calibri"/>
        </w:rPr>
        <w:t xml:space="preserve"> Garz &amp; Fricke Group</w:t>
      </w:r>
      <w:r>
        <w:rPr>
          <w:rStyle w:val="Ohne"/>
          <w:rFonts w:ascii="Calibri" w:hAnsi="Calibri" w:cs="Calibri"/>
        </w:rPr>
        <w:t>. Zur Unternehmensgruppe gehören</w:t>
      </w:r>
      <w:r w:rsidR="00A974C2">
        <w:rPr>
          <w:rStyle w:val="Ohne"/>
          <w:rFonts w:ascii="Calibri" w:hAnsi="Calibri" w:cs="Calibri"/>
        </w:rPr>
        <w:t xml:space="preserve"> </w:t>
      </w:r>
      <w:bookmarkStart w:id="1" w:name="_GoBack"/>
      <w:bookmarkEnd w:id="1"/>
      <w:r>
        <w:rPr>
          <w:rStyle w:val="Ohne"/>
          <w:rFonts w:ascii="Calibri" w:hAnsi="Calibri" w:cs="Calibri"/>
        </w:rPr>
        <w:t>außerdem Garz &amp; Fricke</w:t>
      </w:r>
      <w:r w:rsidRPr="00AF49F6">
        <w:rPr>
          <w:rStyle w:val="Ohne"/>
          <w:rFonts w:ascii="Calibri" w:hAnsi="Calibri" w:cs="Calibri"/>
        </w:rPr>
        <w:t xml:space="preserve">, ein Systemanbieter </w:t>
      </w:r>
      <w:r>
        <w:rPr>
          <w:rStyle w:val="Ohne"/>
          <w:rFonts w:ascii="Calibri" w:hAnsi="Calibri" w:cs="Calibri"/>
        </w:rPr>
        <w:t xml:space="preserve">für </w:t>
      </w:r>
      <w:r w:rsidRPr="002A64E1">
        <w:rPr>
          <w:rStyle w:val="Ohne"/>
          <w:rFonts w:ascii="Calibri" w:hAnsi="Calibri" w:cs="Calibri"/>
        </w:rPr>
        <w:t>schlüsselfertige HMIs, SBCs und Bezahlsystemlösungen</w:t>
      </w:r>
      <w:r w:rsidRPr="00AF49F6">
        <w:rPr>
          <w:rStyle w:val="Ohne"/>
          <w:rFonts w:ascii="Calibri" w:hAnsi="Calibri" w:cs="Calibri"/>
        </w:rPr>
        <w:t>,</w:t>
      </w:r>
      <w:r>
        <w:rPr>
          <w:rStyle w:val="Ohne"/>
          <w:rFonts w:ascii="Calibri" w:hAnsi="Calibri" w:cs="Calibri"/>
        </w:rPr>
        <w:t xml:space="preserve"> und der Applikationsentwickler e-GITS</w:t>
      </w:r>
      <w:r w:rsidRPr="003E475D">
        <w:rPr>
          <w:rStyle w:val="Ohne"/>
          <w:rFonts w:ascii="Calibri" w:hAnsi="Calibri" w:cs="Calibri"/>
        </w:rPr>
        <w:t xml:space="preserve">. </w:t>
      </w:r>
      <w:r>
        <w:rPr>
          <w:rStyle w:val="Ohne"/>
          <w:rFonts w:ascii="Calibri" w:hAnsi="Calibri" w:cs="Calibri"/>
        </w:rPr>
        <w:t>Gemeinsam</w:t>
      </w:r>
      <w:r w:rsidRPr="003E475D">
        <w:rPr>
          <w:rStyle w:val="Ohne"/>
          <w:rFonts w:ascii="Calibri" w:hAnsi="Calibri" w:cs="Calibri"/>
        </w:rPr>
        <w:t xml:space="preserve"> </w:t>
      </w:r>
      <w:r>
        <w:rPr>
          <w:rStyle w:val="Ohne"/>
          <w:rFonts w:ascii="Calibri" w:hAnsi="Calibri" w:cs="Calibri"/>
        </w:rPr>
        <w:t>bildet der Verbund</w:t>
      </w:r>
      <w:r w:rsidRPr="003E475D">
        <w:rPr>
          <w:rStyle w:val="Ohne"/>
          <w:rFonts w:ascii="Calibri" w:hAnsi="Calibri" w:cs="Calibri"/>
        </w:rPr>
        <w:t xml:space="preserve"> eine</w:t>
      </w:r>
      <w:r>
        <w:rPr>
          <w:rStyle w:val="Ohne"/>
          <w:rFonts w:ascii="Calibri" w:hAnsi="Calibri" w:cs="Calibri"/>
        </w:rPr>
        <w:t>n</w:t>
      </w:r>
      <w:r w:rsidRPr="003E475D">
        <w:rPr>
          <w:rStyle w:val="Ohne"/>
          <w:rFonts w:ascii="Calibri" w:hAnsi="Calibri" w:cs="Calibri"/>
        </w:rPr>
        <w:t xml:space="preserve"> der bedeutendsten Systemanbieter für ARM-basierte Embedded-Technologien in Europa. </w:t>
      </w:r>
      <w:r w:rsidRPr="00E132F4">
        <w:rPr>
          <w:rStyle w:val="Ohne"/>
          <w:rFonts w:ascii="Calibri" w:hAnsi="Calibri" w:cs="Calibri"/>
        </w:rPr>
        <w:t>Darüber hinaus bietet die Unternehmensgruppe Leistungen im dazu passenden Software-Ökosystem.</w:t>
      </w:r>
      <w:r>
        <w:rPr>
          <w:rStyle w:val="Ohne"/>
          <w:rFonts w:ascii="Calibri" w:hAnsi="Calibri" w:cs="Calibri"/>
        </w:rPr>
        <w:t xml:space="preserve"> </w:t>
      </w:r>
      <w:r w:rsidRPr="002A64E1">
        <w:rPr>
          <w:rStyle w:val="Ohne"/>
          <w:rFonts w:ascii="Calibri" w:hAnsi="Calibri" w:cs="Calibri"/>
        </w:rPr>
        <w:t>Kunden profitieren nicht nur von einem großen Produktportfolio, sondern auch von einem breit aufgestellten Research &amp; Development Team. Ob ready-to-use Human Machine Interfaces (HMIs) basierend auf bewährten Single Board Computern (SBCs) von Garz &amp; Fricke, flexible System On Modules (SOMs) von Keith &amp; Koep bei anspruchsvollen Anforderungen an Schnittstellen und Formfaktoren oder die abschließende Applikationsentwicklung bei e-GITS: der Kunde erhält immer das passende Angebot für die individuelle Anforderung. Die Unternehmensgruppe ist an den Firmensitzen in Hamburg, Wuppertal und Stuttgart und den internationalen Standorten in Minneapolis (USA) und Chennai (Indien) vertreten.</w:t>
      </w:r>
    </w:p>
    <w:p w14:paraId="3E00966D" w14:textId="77777777" w:rsidR="003418C3" w:rsidRPr="00827CA1" w:rsidRDefault="003418C3" w:rsidP="003418C3">
      <w:pPr>
        <w:pStyle w:val="TextA"/>
        <w:spacing w:line="276" w:lineRule="auto"/>
        <w:rPr>
          <w:rFonts w:ascii="Calibri" w:hAnsi="Calibri" w:cs="Calibri"/>
        </w:rPr>
      </w:pPr>
    </w:p>
    <w:sectPr w:rsidR="003418C3" w:rsidRPr="00827CA1">
      <w:head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588A9" w14:textId="77777777" w:rsidR="00110F6F" w:rsidRDefault="00110F6F">
      <w:pPr>
        <w:spacing w:before="0"/>
      </w:pPr>
      <w:r>
        <w:separator/>
      </w:r>
    </w:p>
  </w:endnote>
  <w:endnote w:type="continuationSeparator" w:id="0">
    <w:p w14:paraId="0FB74463" w14:textId="77777777" w:rsidR="00110F6F" w:rsidRDefault="00110F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4A180" w14:textId="77777777" w:rsidR="00110F6F" w:rsidRDefault="00110F6F">
      <w:pPr>
        <w:spacing w:before="0"/>
      </w:pPr>
      <w:r>
        <w:separator/>
      </w:r>
    </w:p>
  </w:footnote>
  <w:footnote w:type="continuationSeparator" w:id="0">
    <w:p w14:paraId="6321DB77" w14:textId="77777777" w:rsidR="00110F6F" w:rsidRDefault="00110F6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85AD" w14:textId="77777777" w:rsidR="00B51414" w:rsidRDefault="00B34F62" w:rsidP="00AF49F6">
    <w:pPr>
      <w:pStyle w:val="Kopfzeile"/>
      <w:jc w:val="right"/>
    </w:pPr>
    <w:r>
      <w:rPr>
        <w:noProof/>
      </w:rPr>
      <w:drawing>
        <wp:inline distT="0" distB="0" distL="0" distR="0" wp14:anchorId="33EC63F6" wp14:editId="0EC3B627">
          <wp:extent cx="768350" cy="876300"/>
          <wp:effectExtent l="0" t="0" r="0" b="0"/>
          <wp:docPr id="1" name="Bild 1" descr="Keith-Koep-logo-Garz-Frick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th-Koep-logo-Garz-Fricke-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76300"/>
                  </a:xfrm>
                  <a:prstGeom prst="rect">
                    <a:avLst/>
                  </a:prstGeom>
                  <a:noFill/>
                  <a:ln>
                    <a:noFill/>
                  </a:ln>
                </pic:spPr>
              </pic:pic>
            </a:graphicData>
          </a:graphic>
        </wp:inline>
      </w:drawing>
    </w:r>
  </w:p>
  <w:p w14:paraId="43482AF2" w14:textId="77777777" w:rsidR="003E475D" w:rsidRPr="003E475D" w:rsidRDefault="00110F6F" w:rsidP="003E475D">
    <w:pPr>
      <w:pStyle w:val="Kopfzeile"/>
      <w:jc w:val="righ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94B43"/>
    <w:multiLevelType w:val="hybridMultilevel"/>
    <w:tmpl w:val="022E0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A1"/>
    <w:rsid w:val="00093CD8"/>
    <w:rsid w:val="000F6FD5"/>
    <w:rsid w:val="00110F6F"/>
    <w:rsid w:val="001B6289"/>
    <w:rsid w:val="001D001F"/>
    <w:rsid w:val="003418C3"/>
    <w:rsid w:val="003F4985"/>
    <w:rsid w:val="00554F67"/>
    <w:rsid w:val="00585576"/>
    <w:rsid w:val="00680258"/>
    <w:rsid w:val="00827CA1"/>
    <w:rsid w:val="009B2870"/>
    <w:rsid w:val="00A5789C"/>
    <w:rsid w:val="00A974C2"/>
    <w:rsid w:val="00AC1B6E"/>
    <w:rsid w:val="00B34F62"/>
    <w:rsid w:val="00D32567"/>
    <w:rsid w:val="00E823A5"/>
    <w:rsid w:val="00E95A0F"/>
    <w:rsid w:val="00F21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B3D8"/>
  <w15:docId w15:val="{5F319DAB-1EA9-4E8A-A9F5-176B7E75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27CA1"/>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27CA1"/>
    <w:rPr>
      <w:u w:val="single"/>
    </w:rPr>
  </w:style>
  <w:style w:type="paragraph" w:customStyle="1" w:styleId="TextA">
    <w:name w:val="Text A"/>
    <w:rsid w:val="00827CA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Ohne">
    <w:name w:val="Ohne"/>
    <w:rsid w:val="00827CA1"/>
  </w:style>
  <w:style w:type="paragraph" w:styleId="Kopfzeile">
    <w:name w:val="header"/>
    <w:basedOn w:val="Standard"/>
    <w:link w:val="KopfzeileZchn"/>
    <w:uiPriority w:val="99"/>
    <w:unhideWhenUsed/>
    <w:rsid w:val="00827CA1"/>
    <w:pPr>
      <w:tabs>
        <w:tab w:val="center" w:pos="4536"/>
        <w:tab w:val="right" w:pos="9072"/>
      </w:tabs>
      <w:spacing w:before="0"/>
    </w:pPr>
  </w:style>
  <w:style w:type="character" w:customStyle="1" w:styleId="KopfzeileZchn">
    <w:name w:val="Kopfzeile Zchn"/>
    <w:basedOn w:val="Absatz-Standardschriftart"/>
    <w:link w:val="Kopfzeile"/>
    <w:uiPriority w:val="99"/>
    <w:rsid w:val="00827CA1"/>
    <w:rPr>
      <w:rFonts w:ascii="Helvetica Neue" w:eastAsia="Helvetica Neue" w:hAnsi="Helvetica Neue" w:cs="Helvetica Neue"/>
      <w:color w:val="000000"/>
      <w:sz w:val="24"/>
      <w:szCs w:val="24"/>
      <w:bdr w:val="nil"/>
      <w:lang w:eastAsia="de-DE"/>
      <w14:textOutline w14:w="0" w14:cap="flat" w14:cmpd="sng" w14:algn="ctr">
        <w14:noFill/>
        <w14:prstDash w14:val="solid"/>
        <w14:bevel/>
      </w14:textOutline>
    </w:rPr>
  </w:style>
  <w:style w:type="paragraph" w:styleId="Listenabsatz">
    <w:name w:val="List Paragraph"/>
    <w:basedOn w:val="Standard"/>
    <w:uiPriority w:val="34"/>
    <w:qFormat/>
    <w:rsid w:val="00827CA1"/>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left="720"/>
      <w:contextualSpacing/>
    </w:pPr>
    <w:rPr>
      <w:rFonts w:asciiTheme="minorHAnsi" w:eastAsiaTheme="minorHAnsi" w:hAnsiTheme="minorHAnsi" w:cstheme="minorBidi"/>
      <w:color w:val="auto"/>
      <w:sz w:val="22"/>
      <w:szCs w:val="22"/>
      <w:bdr w:val="none" w:sz="0" w:space="0" w:color="auto"/>
      <w:lang w:eastAsia="en-US"/>
      <w14:textOutline w14:w="0" w14:cap="rnd" w14:cmpd="sng" w14:algn="ctr">
        <w14:noFill/>
        <w14:prstDash w14:val="solid"/>
        <w14:bevel/>
      </w14:textOutline>
    </w:rPr>
  </w:style>
  <w:style w:type="character" w:styleId="Kommentarzeichen">
    <w:name w:val="annotation reference"/>
    <w:basedOn w:val="Absatz-Standardschriftart"/>
    <w:uiPriority w:val="99"/>
    <w:semiHidden/>
    <w:unhideWhenUsed/>
    <w:rsid w:val="003F4985"/>
    <w:rPr>
      <w:sz w:val="16"/>
      <w:szCs w:val="16"/>
    </w:rPr>
  </w:style>
  <w:style w:type="paragraph" w:styleId="Kommentartext">
    <w:name w:val="annotation text"/>
    <w:basedOn w:val="Standard"/>
    <w:link w:val="KommentartextZchn"/>
    <w:uiPriority w:val="99"/>
    <w:semiHidden/>
    <w:unhideWhenUsed/>
    <w:rsid w:val="003F4985"/>
    <w:rPr>
      <w:sz w:val="20"/>
      <w:szCs w:val="20"/>
    </w:rPr>
  </w:style>
  <w:style w:type="character" w:customStyle="1" w:styleId="KommentartextZchn">
    <w:name w:val="Kommentartext Zchn"/>
    <w:basedOn w:val="Absatz-Standardschriftart"/>
    <w:link w:val="Kommentartext"/>
    <w:uiPriority w:val="99"/>
    <w:semiHidden/>
    <w:rsid w:val="003F4985"/>
    <w:rPr>
      <w:rFonts w:ascii="Helvetica Neue" w:eastAsia="Helvetica Neue" w:hAnsi="Helvetica Neue" w:cs="Helvetica Neue"/>
      <w:color w:val="000000"/>
      <w:sz w:val="20"/>
      <w:szCs w:val="20"/>
      <w:bdr w:val="nil"/>
      <w:lang w:eastAsia="de-DE"/>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3F4985"/>
    <w:rPr>
      <w:b/>
      <w:bCs/>
    </w:rPr>
  </w:style>
  <w:style w:type="character" w:customStyle="1" w:styleId="KommentarthemaZchn">
    <w:name w:val="Kommentarthema Zchn"/>
    <w:basedOn w:val="KommentartextZchn"/>
    <w:link w:val="Kommentarthema"/>
    <w:uiPriority w:val="99"/>
    <w:semiHidden/>
    <w:rsid w:val="003F4985"/>
    <w:rPr>
      <w:rFonts w:ascii="Helvetica Neue" w:eastAsia="Helvetica Neue" w:hAnsi="Helvetica Neue" w:cs="Helvetica Neue"/>
      <w:b/>
      <w:bCs/>
      <w:color w:val="000000"/>
      <w:sz w:val="20"/>
      <w:szCs w:val="20"/>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3F4985"/>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4985"/>
    <w:rPr>
      <w:rFonts w:ascii="Segoe UI" w:eastAsia="Helvetica Neue" w:hAnsi="Segoe UI" w:cs="Segoe UI"/>
      <w:color w:val="000000"/>
      <w:sz w:val="18"/>
      <w:szCs w:val="18"/>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th-koep.com" TargetMode="External"/><Relationship Id="rId3" Type="http://schemas.openxmlformats.org/officeDocument/2006/relationships/settings" Target="settings.xml"/><Relationship Id="rId7" Type="http://schemas.openxmlformats.org/officeDocument/2006/relationships/hyperlink" Target="mailto:steven.kluge@garz-fric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Arno Lücht</cp:lastModifiedBy>
  <cp:revision>5</cp:revision>
  <dcterms:created xsi:type="dcterms:W3CDTF">2021-02-16T14:50:00Z</dcterms:created>
  <dcterms:modified xsi:type="dcterms:W3CDTF">2021-02-17T14:16:00Z</dcterms:modified>
</cp:coreProperties>
</file>