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98723A" w:rsidRDefault="00273C48" w:rsidP="00B631F1">
      <w:pPr>
        <w:spacing w:before="120" w:line="360" w:lineRule="auto"/>
        <w:rPr>
          <w:rFonts w:cstheme="minorHAnsi"/>
          <w:sz w:val="24"/>
          <w:szCs w:val="24"/>
          <w:lang w:val="de-DE"/>
        </w:rPr>
      </w:pPr>
      <w:r w:rsidRPr="0098723A">
        <w:rPr>
          <w:rFonts w:cstheme="minorHAnsi"/>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98723A">
        <w:rPr>
          <w:rFonts w:cstheme="minorHAnsi"/>
          <w:sz w:val="24"/>
          <w:szCs w:val="24"/>
          <w:lang w:val="de-DE"/>
        </w:rPr>
        <w:t>Presseinformation</w:t>
      </w:r>
    </w:p>
    <w:p w14:paraId="7B4F67D8" w14:textId="77777777" w:rsidR="007929B8" w:rsidRPr="0098723A" w:rsidRDefault="007929B8" w:rsidP="00B631F1">
      <w:pPr>
        <w:spacing w:line="360" w:lineRule="auto"/>
        <w:rPr>
          <w:rFonts w:cstheme="minorHAnsi"/>
          <w:lang w:val="de-DE"/>
        </w:rPr>
      </w:pPr>
    </w:p>
    <w:p w14:paraId="304FD284" w14:textId="77777777" w:rsidR="00B631F1" w:rsidRPr="0098723A" w:rsidRDefault="00B631F1" w:rsidP="00B631F1">
      <w:pPr>
        <w:spacing w:line="360" w:lineRule="auto"/>
        <w:rPr>
          <w:rFonts w:cstheme="minorHAnsi"/>
          <w:lang w:val="de-DE"/>
        </w:rPr>
      </w:pPr>
    </w:p>
    <w:p w14:paraId="7535B3D2" w14:textId="77777777" w:rsidR="00631140" w:rsidRPr="0098723A" w:rsidRDefault="00631140" w:rsidP="00B631F1">
      <w:pPr>
        <w:spacing w:line="360" w:lineRule="auto"/>
        <w:rPr>
          <w:rFonts w:cstheme="minorHAnsi"/>
          <w:lang w:val="de-DE"/>
        </w:rPr>
      </w:pPr>
    </w:p>
    <w:p w14:paraId="014BCDFA" w14:textId="7C81758F" w:rsidR="001C4CC3" w:rsidRPr="0098723A" w:rsidRDefault="00401FF9" w:rsidP="002F5F44">
      <w:pPr>
        <w:widowControl w:val="0"/>
        <w:autoSpaceDE w:val="0"/>
        <w:autoSpaceDN w:val="0"/>
        <w:adjustRightInd w:val="0"/>
        <w:spacing w:after="120" w:line="360" w:lineRule="auto"/>
        <w:rPr>
          <w:rFonts w:eastAsia="Times New Roman" w:cstheme="minorHAnsi"/>
          <w:b/>
          <w:color w:val="000000"/>
          <w:spacing w:val="8"/>
          <w:kern w:val="36"/>
          <w:sz w:val="32"/>
          <w:szCs w:val="32"/>
          <w:lang w:val="de-DE"/>
        </w:rPr>
      </w:pPr>
      <w:r w:rsidRPr="0098723A">
        <w:rPr>
          <w:rFonts w:eastAsia="Times New Roman" w:cstheme="minorHAnsi"/>
          <w:b/>
          <w:color w:val="000000"/>
          <w:spacing w:val="8"/>
          <w:kern w:val="36"/>
          <w:sz w:val="32"/>
          <w:szCs w:val="32"/>
          <w:lang w:val="de-DE"/>
        </w:rPr>
        <w:t>Glamox Lichtmanagementsysteme und HCL auf der eltefa 2019</w:t>
      </w:r>
    </w:p>
    <w:p w14:paraId="53971CF0" w14:textId="2228C9BF" w:rsidR="00FF35A9" w:rsidRPr="004A3177" w:rsidRDefault="007929B8" w:rsidP="00FF35A9">
      <w:pPr>
        <w:spacing w:after="120" w:line="360" w:lineRule="auto"/>
        <w:jc w:val="both"/>
        <w:rPr>
          <w:rFonts w:cstheme="minorHAnsi"/>
          <w:lang w:val="de-DE"/>
        </w:rPr>
      </w:pPr>
      <w:bookmarkStart w:id="0" w:name="OLE_LINK1"/>
      <w:bookmarkStart w:id="1" w:name="OLE_LINK2"/>
      <w:r w:rsidRPr="0098723A">
        <w:rPr>
          <w:rFonts w:cstheme="minorHAnsi"/>
          <w:b/>
          <w:lang w:val="de-DE"/>
        </w:rPr>
        <w:t xml:space="preserve">Hildesheim, </w:t>
      </w:r>
      <w:r w:rsidR="00D54BD4">
        <w:rPr>
          <w:rFonts w:cstheme="minorHAnsi"/>
          <w:b/>
          <w:lang w:val="de-DE"/>
        </w:rPr>
        <w:t>13</w:t>
      </w:r>
      <w:bookmarkStart w:id="2" w:name="_GoBack"/>
      <w:bookmarkEnd w:id="2"/>
      <w:r w:rsidR="00B147C3" w:rsidRPr="0098723A">
        <w:rPr>
          <w:rFonts w:cstheme="minorHAnsi"/>
          <w:b/>
          <w:lang w:val="de-DE"/>
        </w:rPr>
        <w:t xml:space="preserve">. </w:t>
      </w:r>
      <w:r w:rsidR="0072537D" w:rsidRPr="0098723A">
        <w:rPr>
          <w:rFonts w:cstheme="minorHAnsi"/>
          <w:b/>
          <w:lang w:val="de-DE"/>
        </w:rPr>
        <w:t>Februar</w:t>
      </w:r>
      <w:r w:rsidRPr="0098723A">
        <w:rPr>
          <w:rFonts w:cstheme="minorHAnsi"/>
          <w:b/>
          <w:lang w:val="de-DE"/>
        </w:rPr>
        <w:t xml:space="preserve"> 201</w:t>
      </w:r>
      <w:r w:rsidR="00966456" w:rsidRPr="0098723A">
        <w:rPr>
          <w:rFonts w:cstheme="minorHAnsi"/>
          <w:b/>
          <w:lang w:val="de-DE"/>
        </w:rPr>
        <w:t>9</w:t>
      </w:r>
      <w:r w:rsidRPr="0098723A">
        <w:rPr>
          <w:rFonts w:cstheme="minorHAnsi"/>
          <w:lang w:val="de-DE"/>
        </w:rPr>
        <w:t xml:space="preserve"> –</w:t>
      </w:r>
      <w:r w:rsidR="00143666" w:rsidRPr="0098723A">
        <w:rPr>
          <w:rFonts w:cstheme="minorHAnsi"/>
          <w:lang w:val="de-DE"/>
        </w:rPr>
        <w:t xml:space="preserve"> </w:t>
      </w:r>
      <w:r w:rsidR="00EA3BE6" w:rsidRPr="0098723A">
        <w:rPr>
          <w:rFonts w:cstheme="minorHAnsi"/>
          <w:lang w:val="de-DE"/>
        </w:rPr>
        <w:t xml:space="preserve">Auf der Fachmesse </w:t>
      </w:r>
      <w:r w:rsidR="00EA3BE6" w:rsidRPr="0098723A">
        <w:rPr>
          <w:rFonts w:cstheme="minorHAnsi"/>
          <w:b/>
          <w:lang w:val="de-DE"/>
        </w:rPr>
        <w:t>eltefa</w:t>
      </w:r>
      <w:r w:rsidR="00EA3BE6" w:rsidRPr="0098723A">
        <w:rPr>
          <w:rFonts w:cstheme="minorHAnsi"/>
          <w:lang w:val="de-DE"/>
        </w:rPr>
        <w:t xml:space="preserve"> in Stuttgart präsentiert </w:t>
      </w:r>
      <w:r w:rsidR="00FF35A9" w:rsidRPr="0098723A">
        <w:rPr>
          <w:rFonts w:cstheme="minorHAnsi"/>
          <w:b/>
          <w:lang w:val="de-DE"/>
        </w:rPr>
        <w:t>Glamox</w:t>
      </w:r>
      <w:r w:rsidR="00FF35A9" w:rsidRPr="0098723A">
        <w:rPr>
          <w:rFonts w:cstheme="minorHAnsi"/>
          <w:lang w:val="de-DE"/>
        </w:rPr>
        <w:t xml:space="preserve"> </w:t>
      </w:r>
      <w:r w:rsidR="00EA3BE6" w:rsidRPr="0098723A">
        <w:rPr>
          <w:rFonts w:cstheme="minorHAnsi"/>
          <w:lang w:val="de-DE"/>
        </w:rPr>
        <w:t xml:space="preserve">vom 20. bis 22. März </w:t>
      </w:r>
      <w:r w:rsidR="005C65E7" w:rsidRPr="0098723A">
        <w:rPr>
          <w:rFonts w:cstheme="minorHAnsi"/>
          <w:lang w:val="de-DE"/>
        </w:rPr>
        <w:t xml:space="preserve">in </w:t>
      </w:r>
      <w:r w:rsidR="005C65E7" w:rsidRPr="0098723A">
        <w:rPr>
          <w:rFonts w:cstheme="minorHAnsi"/>
          <w:b/>
          <w:lang w:val="de-DE"/>
        </w:rPr>
        <w:t>Halle 8, Stand 8B32</w:t>
      </w:r>
      <w:r w:rsidR="005C65E7" w:rsidRPr="0098723A">
        <w:rPr>
          <w:rFonts w:cstheme="minorHAnsi"/>
          <w:lang w:val="de-DE"/>
        </w:rPr>
        <w:t xml:space="preserve"> seine HCL-Konzepte und Lichtmanagementsysteme sowie </w:t>
      </w:r>
      <w:r w:rsidR="006368F3" w:rsidRPr="0098723A">
        <w:rPr>
          <w:rFonts w:cstheme="minorHAnsi"/>
          <w:lang w:val="de-DE"/>
        </w:rPr>
        <w:t>vielseitig einsetzbare</w:t>
      </w:r>
      <w:r w:rsidR="005C65E7" w:rsidRPr="0098723A">
        <w:rPr>
          <w:rFonts w:cstheme="minorHAnsi"/>
          <w:lang w:val="de-DE"/>
        </w:rPr>
        <w:t xml:space="preserve"> Innenraumleuchten für </w:t>
      </w:r>
      <w:r w:rsidR="00FF35A9" w:rsidRPr="0098723A">
        <w:rPr>
          <w:rFonts w:cstheme="minorHAnsi"/>
          <w:lang w:val="de-DE"/>
        </w:rPr>
        <w:t>gewerbliche und industrielle Bauten</w:t>
      </w:r>
      <w:r w:rsidR="005C65E7" w:rsidRPr="0098723A">
        <w:rPr>
          <w:rFonts w:cstheme="minorHAnsi"/>
          <w:lang w:val="de-DE"/>
        </w:rPr>
        <w:t xml:space="preserve">. </w:t>
      </w:r>
      <w:r w:rsidR="00FF2A64" w:rsidRPr="0098723A">
        <w:rPr>
          <w:rFonts w:cstheme="minorHAnsi"/>
          <w:lang w:val="de-DE"/>
        </w:rPr>
        <w:t>Sämtliche</w:t>
      </w:r>
      <w:r w:rsidR="00FF35A9" w:rsidRPr="0098723A">
        <w:rPr>
          <w:rFonts w:cstheme="minorHAnsi"/>
          <w:lang w:val="de-DE"/>
        </w:rPr>
        <w:t xml:space="preserve"> Produkte sind für eine </w:t>
      </w:r>
      <w:r w:rsidR="00FF35A9" w:rsidRPr="004A3177">
        <w:rPr>
          <w:rFonts w:cstheme="minorHAnsi"/>
          <w:lang w:val="de-DE"/>
        </w:rPr>
        <w:t xml:space="preserve">einfache Montage mit modernen elektronischen Komponenten </w:t>
      </w:r>
      <w:r w:rsidR="00FF35A9" w:rsidRPr="0076702F">
        <w:rPr>
          <w:rFonts w:cstheme="minorHAnsi"/>
          <w:lang w:val="de-DE"/>
        </w:rPr>
        <w:t xml:space="preserve">und </w:t>
      </w:r>
      <w:r w:rsidR="00C86874" w:rsidRPr="0076702F">
        <w:rPr>
          <w:rFonts w:cstheme="minorHAnsi"/>
          <w:lang w:val="de-DE"/>
        </w:rPr>
        <w:t>Lichtquellen</w:t>
      </w:r>
      <w:r w:rsidR="00FF35A9" w:rsidRPr="0076702F">
        <w:rPr>
          <w:rFonts w:cstheme="minorHAnsi"/>
          <w:lang w:val="de-DE"/>
        </w:rPr>
        <w:t xml:space="preserve"> für </w:t>
      </w:r>
      <w:r w:rsidR="00FF35A9" w:rsidRPr="004A3177">
        <w:rPr>
          <w:rFonts w:cstheme="minorHAnsi"/>
          <w:lang w:val="de-DE"/>
        </w:rPr>
        <w:t xml:space="preserve">eine höchstmögliche Energieeffizienz und Wirtschaftlichkeit entwickelt worden. Dank moderner Lichtmanagementsysteme zur effektiven Steuerung sowie Wartung und dem Konzept von Human Centric Lighting tragen die Beleuchtungslösungen von Glamox dazu bei, dass unterschiedliche Gebäudebereiche sowie Arbeitsplatzumgebungen als angenehm, flexibel und anregend wahrgenommen werden – so werden Wohlbefinden, Effizienz und Leistung gesteigert und die Bedürfnisse des Einzelnen besser berücksichtigt. </w:t>
      </w:r>
      <w:r w:rsidR="00E747D5" w:rsidRPr="004A3177">
        <w:rPr>
          <w:rFonts w:cstheme="minorHAnsi"/>
          <w:lang w:val="de-DE"/>
        </w:rPr>
        <w:t>Eine Virtual Reality-Simulation (VR) am Stand verdeutlicht den Besuchern sehr eindrucksvoll, wie die HCL-Konzepte von Glamox funktionieren und sich positiv auf den Menschen auswirken.</w:t>
      </w:r>
    </w:p>
    <w:p w14:paraId="2BF552DF" w14:textId="782FD58D" w:rsidR="00FF2A64" w:rsidRPr="004A3177" w:rsidRDefault="00FF2A64" w:rsidP="00D36BAD">
      <w:pPr>
        <w:tabs>
          <w:tab w:val="center" w:pos="4680"/>
        </w:tabs>
        <w:spacing w:after="120" w:line="360" w:lineRule="auto"/>
        <w:jc w:val="both"/>
        <w:rPr>
          <w:rFonts w:cstheme="minorHAnsi"/>
          <w:lang w:val="de-DE"/>
        </w:rPr>
      </w:pPr>
      <w:r w:rsidRPr="004A3177">
        <w:rPr>
          <w:rFonts w:cstheme="minorHAnsi"/>
          <w:lang w:val="de-DE"/>
        </w:rPr>
        <w:t xml:space="preserve">Für die Fachleute </w:t>
      </w:r>
      <w:r w:rsidR="00A2628E" w:rsidRPr="004A3177">
        <w:rPr>
          <w:rFonts w:cstheme="minorHAnsi"/>
          <w:lang w:val="de-DE"/>
        </w:rPr>
        <w:t>aus</w:t>
      </w:r>
      <w:r w:rsidRPr="004A3177">
        <w:rPr>
          <w:rFonts w:cstheme="minorHAnsi"/>
          <w:lang w:val="de-DE"/>
        </w:rPr>
        <w:t xml:space="preserve"> den Bereichen Handwerk, Industrie, Handel, Planung und Architektur </w:t>
      </w:r>
      <w:r w:rsidR="00A2628E" w:rsidRPr="004A3177">
        <w:rPr>
          <w:rFonts w:cstheme="minorHAnsi"/>
          <w:lang w:val="de-DE"/>
        </w:rPr>
        <w:t xml:space="preserve">müssen Lichtlösungen energieeffizient, montagefreundlich und langlebig sein. Dazu treten Lichtmanagementsysteme bei Gebäudeverwaltung sowie moderne HCL-Konzepte für Büros, Industrieanlagen sowie Bildungs- und Gesundheitseinrichtungen zunehmend in den Fokus. </w:t>
      </w:r>
      <w:r w:rsidRPr="004A3177">
        <w:rPr>
          <w:rFonts w:cstheme="minorHAnsi"/>
          <w:lang w:val="de-DE"/>
        </w:rPr>
        <w:t xml:space="preserve">Glamox kombiniert </w:t>
      </w:r>
      <w:r w:rsidR="00A2628E" w:rsidRPr="004A3177">
        <w:rPr>
          <w:rFonts w:cstheme="minorHAnsi"/>
          <w:lang w:val="de-DE"/>
        </w:rPr>
        <w:t xml:space="preserve">alle </w:t>
      </w:r>
      <w:r w:rsidRPr="004A3177">
        <w:rPr>
          <w:rFonts w:cstheme="minorHAnsi"/>
          <w:lang w:val="de-DE"/>
        </w:rPr>
        <w:t xml:space="preserve">diese Anforderungen bei seinen Produkten, Lichtmanagementsystemen und individuellen HCL-Konzepten gleichermaßen und stellt diese </w:t>
      </w:r>
      <w:r w:rsidR="00692C56" w:rsidRPr="004A3177">
        <w:rPr>
          <w:rFonts w:cstheme="minorHAnsi"/>
          <w:lang w:val="de-DE"/>
        </w:rPr>
        <w:t>ausführlich</w:t>
      </w:r>
      <w:r w:rsidR="00A2628E" w:rsidRPr="004A3177">
        <w:rPr>
          <w:rFonts w:cstheme="minorHAnsi"/>
          <w:lang w:val="de-DE"/>
        </w:rPr>
        <w:t xml:space="preserve"> </w:t>
      </w:r>
      <w:r w:rsidRPr="004A3177">
        <w:rPr>
          <w:rFonts w:cstheme="minorHAnsi"/>
          <w:lang w:val="de-DE"/>
        </w:rPr>
        <w:t xml:space="preserve">auf der eltefa dem Fachpublikum vor. </w:t>
      </w:r>
    </w:p>
    <w:p w14:paraId="59CFDD3D" w14:textId="5325F087" w:rsidR="00732AE8" w:rsidRPr="004A3177" w:rsidRDefault="00732AE8" w:rsidP="00732AE8">
      <w:pPr>
        <w:tabs>
          <w:tab w:val="center" w:pos="4680"/>
        </w:tabs>
        <w:spacing w:after="120" w:line="360" w:lineRule="auto"/>
        <w:jc w:val="both"/>
        <w:rPr>
          <w:rFonts w:cstheme="minorHAnsi"/>
          <w:b/>
          <w:lang w:val="de-DE"/>
        </w:rPr>
      </w:pPr>
      <w:r w:rsidRPr="004A3177">
        <w:rPr>
          <w:rFonts w:cstheme="minorHAnsi"/>
          <w:b/>
          <w:lang w:val="de-DE"/>
        </w:rPr>
        <w:t>Lichtkonzepte mit HCL</w:t>
      </w:r>
    </w:p>
    <w:p w14:paraId="166760C7" w14:textId="7EDFE566" w:rsidR="00732AE8" w:rsidRPr="0076702F" w:rsidRDefault="00732AE8" w:rsidP="00732AE8">
      <w:pPr>
        <w:spacing w:after="120" w:line="360" w:lineRule="auto"/>
        <w:jc w:val="both"/>
        <w:rPr>
          <w:rFonts w:eastAsia="Times New Roman" w:cstheme="minorHAnsi"/>
          <w:lang w:val="de-DE" w:eastAsia="de-DE"/>
        </w:rPr>
      </w:pPr>
      <w:r w:rsidRPr="004A3177">
        <w:rPr>
          <w:rFonts w:eastAsia="Times New Roman" w:cstheme="minorHAnsi"/>
          <w:lang w:val="de-DE" w:eastAsia="de-DE"/>
        </w:rPr>
        <w:t xml:space="preserve">Das Konzept Human Centric Lighting spielt </w:t>
      </w:r>
      <w:r w:rsidRPr="0076702F">
        <w:rPr>
          <w:rFonts w:eastAsia="Times New Roman" w:cstheme="minorHAnsi"/>
          <w:lang w:val="de-DE" w:eastAsia="de-DE"/>
        </w:rPr>
        <w:t xml:space="preserve">bei den </w:t>
      </w:r>
      <w:r w:rsidR="003B4303" w:rsidRPr="0076702F">
        <w:rPr>
          <w:rFonts w:eastAsia="Times New Roman" w:cstheme="minorHAnsi"/>
          <w:lang w:val="de-DE" w:eastAsia="de-DE"/>
        </w:rPr>
        <w:t>Beleuchtungsl</w:t>
      </w:r>
      <w:r w:rsidRPr="0076702F">
        <w:rPr>
          <w:rFonts w:eastAsia="Times New Roman" w:cstheme="minorHAnsi"/>
          <w:lang w:val="de-DE" w:eastAsia="de-DE"/>
        </w:rPr>
        <w:t xml:space="preserve">ösungen von Glamox eine zentrale Rolle, um eine positive Wirkung des Lichts auf den Menschen zu erzielen. </w:t>
      </w:r>
      <w:r w:rsidRPr="0076702F">
        <w:rPr>
          <w:rFonts w:cstheme="minorHAnsi"/>
          <w:lang w:val="de-DE"/>
        </w:rPr>
        <w:t xml:space="preserve">Über </w:t>
      </w:r>
      <w:r w:rsidR="00A756FA" w:rsidRPr="0076702F">
        <w:rPr>
          <w:rFonts w:cstheme="minorHAnsi"/>
          <w:lang w:val="de-DE"/>
        </w:rPr>
        <w:t>die</w:t>
      </w:r>
      <w:r w:rsidRPr="0076702F">
        <w:rPr>
          <w:rFonts w:cstheme="minorHAnsi"/>
          <w:lang w:val="de-DE"/>
        </w:rPr>
        <w:t xml:space="preserve"> Virtual Reality-Simulation können die Fachbesucher auf dem Glamox-Messestand erleben, wie die Anpassung an den Tagesrhythmus der Mitarbeiter </w:t>
      </w:r>
      <w:r w:rsidR="00A756FA" w:rsidRPr="0076702F">
        <w:rPr>
          <w:rFonts w:cstheme="minorHAnsi"/>
          <w:lang w:val="de-DE"/>
        </w:rPr>
        <w:t>im Büro oder Produktionsbereichen in der Industrie</w:t>
      </w:r>
      <w:r w:rsidRPr="0076702F">
        <w:rPr>
          <w:rFonts w:cstheme="minorHAnsi"/>
          <w:lang w:val="de-DE"/>
        </w:rPr>
        <w:t xml:space="preserve"> wirkt.</w:t>
      </w:r>
      <w:r w:rsidRPr="0076702F">
        <w:rPr>
          <w:rFonts w:eastAsia="Times New Roman" w:cstheme="minorHAnsi"/>
          <w:lang w:val="de-DE" w:eastAsia="de-DE"/>
        </w:rPr>
        <w:t xml:space="preserve"> Dank der VR-Simulation und entsprechender VR-Brillen kann Glamox sehr anschaulich die besondere Wirkung des Lichts zeigen.</w:t>
      </w:r>
    </w:p>
    <w:p w14:paraId="17BE8121" w14:textId="77777777" w:rsidR="00C0318A" w:rsidRPr="0076702F" w:rsidRDefault="00C0318A" w:rsidP="00865CA0">
      <w:pPr>
        <w:tabs>
          <w:tab w:val="center" w:pos="4680"/>
        </w:tabs>
        <w:spacing w:after="120" w:line="360" w:lineRule="auto"/>
        <w:jc w:val="both"/>
        <w:rPr>
          <w:rFonts w:cstheme="minorHAnsi"/>
          <w:b/>
          <w:lang w:val="de-DE"/>
        </w:rPr>
      </w:pPr>
    </w:p>
    <w:p w14:paraId="18F553F9" w14:textId="77777777" w:rsidR="00C0318A" w:rsidRPr="0076702F" w:rsidRDefault="00C0318A" w:rsidP="00865CA0">
      <w:pPr>
        <w:tabs>
          <w:tab w:val="center" w:pos="4680"/>
        </w:tabs>
        <w:spacing w:after="120" w:line="360" w:lineRule="auto"/>
        <w:jc w:val="both"/>
        <w:rPr>
          <w:rFonts w:cstheme="minorHAnsi"/>
          <w:b/>
          <w:lang w:val="de-DE"/>
        </w:rPr>
      </w:pPr>
    </w:p>
    <w:p w14:paraId="27F54440" w14:textId="0E45CDC0" w:rsidR="00C0318A" w:rsidRPr="0076702F" w:rsidRDefault="00A1507E" w:rsidP="00865CA0">
      <w:pPr>
        <w:tabs>
          <w:tab w:val="center" w:pos="4680"/>
        </w:tabs>
        <w:spacing w:after="120" w:line="360" w:lineRule="auto"/>
        <w:jc w:val="both"/>
        <w:rPr>
          <w:rFonts w:cstheme="minorHAnsi"/>
          <w:b/>
          <w:lang w:val="de-DE"/>
        </w:rPr>
      </w:pPr>
      <w:r w:rsidRPr="0076702F">
        <w:rPr>
          <w:rFonts w:cstheme="minorHAnsi"/>
          <w:b/>
          <w:lang w:val="de-DE"/>
        </w:rPr>
        <w:lastRenderedPageBreak/>
        <w:t>Lichtmanagement für die Zukunft</w:t>
      </w:r>
    </w:p>
    <w:p w14:paraId="5F9AD105" w14:textId="30D6B5E2" w:rsidR="005E6738" w:rsidRPr="0076702F" w:rsidRDefault="002F5F44" w:rsidP="00865CA0">
      <w:pPr>
        <w:tabs>
          <w:tab w:val="center" w:pos="4680"/>
        </w:tabs>
        <w:spacing w:after="120" w:line="360" w:lineRule="auto"/>
        <w:jc w:val="both"/>
        <w:rPr>
          <w:rFonts w:cstheme="minorHAnsi"/>
          <w:b/>
          <w:lang w:val="de-DE"/>
        </w:rPr>
      </w:pPr>
      <w:r w:rsidRPr="0076702F">
        <w:rPr>
          <w:rFonts w:eastAsia="Times New Roman" w:cstheme="minorHAnsi"/>
          <w:lang w:val="de-DE" w:eastAsia="de-DE"/>
        </w:rPr>
        <w:t>B</w:t>
      </w:r>
      <w:r w:rsidR="005E6738" w:rsidRPr="0076702F">
        <w:rPr>
          <w:rFonts w:eastAsia="Times New Roman" w:cstheme="minorHAnsi"/>
          <w:lang w:val="de-DE" w:eastAsia="de-DE"/>
        </w:rPr>
        <w:t xml:space="preserve">ei einer komfortablen Steuerung mit einem Lichtmanagementsystem sind räumliche Vorgaben und persönliche Vorlieben sehr wichtig. </w:t>
      </w:r>
      <w:r w:rsidR="003B4303" w:rsidRPr="0076702F">
        <w:rPr>
          <w:rFonts w:eastAsia="Times New Roman" w:cstheme="minorHAnsi"/>
          <w:lang w:val="de-DE" w:eastAsia="de-DE"/>
        </w:rPr>
        <w:t>Die Beleuchtung</w:t>
      </w:r>
      <w:r w:rsidR="005E6738" w:rsidRPr="0076702F">
        <w:rPr>
          <w:rFonts w:eastAsia="Times New Roman" w:cstheme="minorHAnsi"/>
          <w:lang w:val="de-DE" w:eastAsia="de-DE"/>
        </w:rPr>
        <w:t xml:space="preserve"> kann individuell gedimmt oder auf Wunsch auf eine tageslichtabhängige </w:t>
      </w:r>
      <w:r w:rsidR="003B4303" w:rsidRPr="0076702F">
        <w:rPr>
          <w:rFonts w:eastAsia="Times New Roman" w:cstheme="minorHAnsi"/>
          <w:lang w:val="de-DE" w:eastAsia="de-DE"/>
        </w:rPr>
        <w:t>Steuerung</w:t>
      </w:r>
      <w:r w:rsidR="005E6738" w:rsidRPr="0076702F">
        <w:rPr>
          <w:rFonts w:eastAsia="Times New Roman" w:cstheme="minorHAnsi"/>
          <w:lang w:val="de-DE" w:eastAsia="de-DE"/>
        </w:rPr>
        <w:t xml:space="preserve"> eingestellt werden. Auf der eltefa zeigt Glamox, wie Präsenz- sowie Zeitschaltungen zusätzlich ein hohes Potential für Energieeinsparungen bieten. </w:t>
      </w:r>
      <w:r w:rsidR="005E6738" w:rsidRPr="0076702F">
        <w:rPr>
          <w:rFonts w:eastAsia="Times New Roman" w:cstheme="minorHAnsi"/>
          <w:shd w:val="clear" w:color="auto" w:fill="FFFFFF"/>
          <w:lang w:val="de-DE" w:eastAsia="de-DE"/>
        </w:rPr>
        <w:t xml:space="preserve">Die Lichtmanagementsysteme von Glamox lassen sich dabei immer in vorhandene Gebäudesteuerungen integrieren. </w:t>
      </w:r>
      <w:r w:rsidR="005E6738" w:rsidRPr="0076702F">
        <w:rPr>
          <w:rFonts w:eastAsia="Times New Roman" w:cstheme="minorHAnsi"/>
          <w:lang w:val="de-DE" w:eastAsia="de-DE"/>
        </w:rPr>
        <w:t>So können selbst Notlichter im Gebäude überwacht und entsprechende Protokolle abgerufen werden, die europäische Standards erfüllen.</w:t>
      </w:r>
    </w:p>
    <w:p w14:paraId="112D348B" w14:textId="2870332C" w:rsidR="00C311F6" w:rsidRPr="0076702F" w:rsidRDefault="00865CA0" w:rsidP="00D36BAD">
      <w:pPr>
        <w:tabs>
          <w:tab w:val="center" w:pos="4680"/>
        </w:tabs>
        <w:spacing w:after="120" w:line="360" w:lineRule="auto"/>
        <w:jc w:val="both"/>
        <w:rPr>
          <w:rFonts w:cstheme="minorHAnsi"/>
          <w:b/>
          <w:lang w:val="de-DE"/>
        </w:rPr>
      </w:pPr>
      <w:r w:rsidRPr="0076702F">
        <w:rPr>
          <w:rFonts w:cstheme="minorHAnsi"/>
          <w:b/>
          <w:lang w:val="de-DE"/>
        </w:rPr>
        <w:t>Licht</w:t>
      </w:r>
      <w:r w:rsidR="00D52E8D" w:rsidRPr="0076702F">
        <w:rPr>
          <w:rFonts w:cstheme="minorHAnsi"/>
          <w:b/>
          <w:lang w:val="de-DE"/>
        </w:rPr>
        <w:t xml:space="preserve"> für Raum</w:t>
      </w:r>
      <w:r w:rsidRPr="0076702F">
        <w:rPr>
          <w:rFonts w:cstheme="minorHAnsi"/>
          <w:b/>
          <w:lang w:val="de-DE"/>
        </w:rPr>
        <w:t>architektur</w:t>
      </w:r>
    </w:p>
    <w:p w14:paraId="1BE5A962" w14:textId="00ECD39A" w:rsidR="00C311F6" w:rsidRPr="004A3177" w:rsidRDefault="00926458" w:rsidP="00C311F6">
      <w:pPr>
        <w:tabs>
          <w:tab w:val="center" w:pos="4680"/>
        </w:tabs>
        <w:spacing w:after="120" w:line="360" w:lineRule="auto"/>
        <w:jc w:val="both"/>
        <w:rPr>
          <w:rFonts w:cstheme="minorHAnsi"/>
          <w:lang w:val="de-DE"/>
        </w:rPr>
      </w:pPr>
      <w:r w:rsidRPr="0076702F">
        <w:rPr>
          <w:rFonts w:cstheme="minorHAnsi"/>
          <w:lang w:val="de-DE"/>
        </w:rPr>
        <w:t xml:space="preserve">Aus dem umfangreichen </w:t>
      </w:r>
      <w:r w:rsidR="003D29CF" w:rsidRPr="0076702F">
        <w:rPr>
          <w:rFonts w:cstheme="minorHAnsi"/>
          <w:lang w:val="de-DE"/>
        </w:rPr>
        <w:t>Produkt</w:t>
      </w:r>
      <w:r w:rsidRPr="0076702F">
        <w:rPr>
          <w:rFonts w:cstheme="minorHAnsi"/>
          <w:lang w:val="de-DE"/>
        </w:rPr>
        <w:t>sortiment</w:t>
      </w:r>
      <w:r w:rsidR="003D29CF" w:rsidRPr="0076702F">
        <w:rPr>
          <w:rFonts w:cstheme="minorHAnsi"/>
          <w:lang w:val="de-DE"/>
        </w:rPr>
        <w:t xml:space="preserve"> </w:t>
      </w:r>
      <w:r w:rsidRPr="0076702F">
        <w:rPr>
          <w:rFonts w:cstheme="minorHAnsi"/>
          <w:lang w:val="de-DE"/>
        </w:rPr>
        <w:t>zeigt</w:t>
      </w:r>
      <w:r w:rsidR="003D29CF" w:rsidRPr="0076702F">
        <w:rPr>
          <w:rFonts w:cstheme="minorHAnsi"/>
          <w:lang w:val="de-DE"/>
        </w:rPr>
        <w:t xml:space="preserve"> Glamox die </w:t>
      </w:r>
      <w:r w:rsidR="00343AC8" w:rsidRPr="0076702F">
        <w:rPr>
          <w:rFonts w:cstheme="minorHAnsi"/>
          <w:lang w:val="de-DE"/>
        </w:rPr>
        <w:t>elegante</w:t>
      </w:r>
      <w:r w:rsidR="003D29CF" w:rsidRPr="0076702F">
        <w:rPr>
          <w:rFonts w:cstheme="minorHAnsi"/>
          <w:lang w:val="de-DE"/>
        </w:rPr>
        <w:t xml:space="preserve"> Stehleuchte Linea </w:t>
      </w:r>
      <w:r w:rsidR="00343AC8" w:rsidRPr="0076702F">
        <w:rPr>
          <w:rFonts w:cstheme="minorHAnsi"/>
          <w:lang w:val="de-DE"/>
        </w:rPr>
        <w:t xml:space="preserve">mit individualisierbarer Lichtsteuerung und einstellbarer Farbintensität sowie Farbtemperatur. Das stilvolle Design der Linea passt in jede Büroumgebung, ganz gleich ob diese klassisch oder modern gestaltet ist. </w:t>
      </w:r>
      <w:r w:rsidR="005572B1" w:rsidRPr="0076702F">
        <w:rPr>
          <w:rFonts w:cstheme="minorHAnsi"/>
          <w:lang w:val="de-DE" w:eastAsia="de-DE"/>
        </w:rPr>
        <w:t xml:space="preserve">Mit der Glamox C95 wird eine komplette Leuchtenfamilie als Pendel-, Anbau- sowie Einbauvarianten </w:t>
      </w:r>
      <w:r w:rsidR="00343AC8" w:rsidRPr="0076702F">
        <w:rPr>
          <w:rFonts w:cstheme="minorHAnsi"/>
          <w:lang w:val="de-DE" w:eastAsia="de-DE"/>
        </w:rPr>
        <w:t>auf der eltefa präsentiert</w:t>
      </w:r>
      <w:r w:rsidR="005572B1" w:rsidRPr="0076702F">
        <w:rPr>
          <w:rFonts w:cstheme="minorHAnsi"/>
          <w:lang w:val="de-DE" w:eastAsia="de-DE"/>
        </w:rPr>
        <w:t xml:space="preserve">. Dank der unterschiedlichen Installationsmöglichkeiten steht ein ganzes Sortiment mit einem gleichen visuellen Eindruck für unterschiedlichste Anwendungen am Arbeitsplatz im Büro, Konferenzraum, Empfang oder für soziale Gebäudebereiche zur Verfügung. </w:t>
      </w:r>
      <w:r w:rsidR="005572B1" w:rsidRPr="0076702F">
        <w:rPr>
          <w:rFonts w:cstheme="minorHAnsi"/>
          <w:lang w:val="de-DE"/>
        </w:rPr>
        <w:t xml:space="preserve">Dazu sind die Modellvarianten der modularen Leuchtenfamilie Glamox C90 zu sehen, die sich durch exzellentes Design mit einer sehr homogenen Lichtaustrittsfläche auszeichnen. Die hohe Lichtqualität wird über die hochwertigen LED-Module sowie die vollständig beleuchtete Optik bis an den Rahmenrand aus Aluminium erzielt. </w:t>
      </w:r>
      <w:bookmarkStart w:id="3" w:name="OLE_LINK3"/>
      <w:bookmarkStart w:id="4" w:name="OLE_LINK4"/>
      <w:bookmarkEnd w:id="0"/>
      <w:bookmarkEnd w:id="1"/>
      <w:r w:rsidR="00C311F6" w:rsidRPr="0076702F">
        <w:rPr>
          <w:rFonts w:cstheme="minorHAnsi"/>
          <w:lang w:val="de-DE"/>
        </w:rPr>
        <w:t>Alle Leuchten der Glamox C9</w:t>
      </w:r>
      <w:r w:rsidR="005572B1" w:rsidRPr="0076702F">
        <w:rPr>
          <w:rFonts w:cstheme="minorHAnsi"/>
          <w:lang w:val="de-DE"/>
        </w:rPr>
        <w:t>5</w:t>
      </w:r>
      <w:r w:rsidR="00C311F6" w:rsidRPr="0076702F">
        <w:rPr>
          <w:rFonts w:cstheme="minorHAnsi"/>
          <w:lang w:val="de-DE"/>
        </w:rPr>
        <w:t>- sowie C9</w:t>
      </w:r>
      <w:r w:rsidR="005572B1" w:rsidRPr="0076702F">
        <w:rPr>
          <w:rFonts w:cstheme="minorHAnsi"/>
          <w:lang w:val="de-DE"/>
        </w:rPr>
        <w:t>0</w:t>
      </w:r>
      <w:r w:rsidR="00C311F6" w:rsidRPr="0076702F">
        <w:rPr>
          <w:rFonts w:cstheme="minorHAnsi"/>
          <w:lang w:val="de-DE"/>
        </w:rPr>
        <w:t xml:space="preserve">-Familie sind mit DALI-Dimmung erhältlich und mit den Glamox Lichtmanagementsystemen kompatibel. Die Modelle können </w:t>
      </w:r>
      <w:r w:rsidR="00C311F6" w:rsidRPr="004A3177">
        <w:rPr>
          <w:rFonts w:cstheme="minorHAnsi"/>
          <w:lang w:val="de-DE"/>
        </w:rPr>
        <w:t>zudem mit Tuneable White (CCT) bestellt werden, um sie in H</w:t>
      </w:r>
      <w:r w:rsidR="005572B1" w:rsidRPr="004A3177">
        <w:rPr>
          <w:rFonts w:cstheme="minorHAnsi"/>
          <w:lang w:val="de-DE"/>
        </w:rPr>
        <w:t>CL</w:t>
      </w:r>
      <w:r w:rsidR="00C311F6" w:rsidRPr="004A3177">
        <w:rPr>
          <w:rFonts w:cstheme="minorHAnsi"/>
          <w:lang w:val="de-DE"/>
        </w:rPr>
        <w:t>-Konzepte einzusetzen</w:t>
      </w:r>
      <w:r w:rsidR="005572B1" w:rsidRPr="004A3177">
        <w:rPr>
          <w:rFonts w:cstheme="minorHAnsi"/>
          <w:lang w:val="de-DE"/>
        </w:rPr>
        <w:t>.</w:t>
      </w:r>
    </w:p>
    <w:p w14:paraId="081327F8" w14:textId="319D9FF5" w:rsidR="00FF35A9" w:rsidRPr="004A3177" w:rsidRDefault="00FF35A9" w:rsidP="00FF35A9">
      <w:pPr>
        <w:spacing w:after="120" w:line="360" w:lineRule="auto"/>
        <w:jc w:val="both"/>
        <w:outlineLvl w:val="0"/>
        <w:rPr>
          <w:rFonts w:cstheme="minorHAnsi"/>
          <w:lang w:val="de-DE"/>
        </w:rPr>
      </w:pPr>
      <w:r w:rsidRPr="004A3177">
        <w:rPr>
          <w:rFonts w:cstheme="minorHAnsi"/>
          <w:lang w:val="de-DE"/>
        </w:rPr>
        <w:t xml:space="preserve">Weitere Informationen unter </w:t>
      </w:r>
      <w:hyperlink r:id="rId9" w:history="1">
        <w:r w:rsidRPr="004A3177">
          <w:rPr>
            <w:rStyle w:val="Hyperlink"/>
            <w:rFonts w:cstheme="minorHAnsi"/>
            <w:lang w:val="de-DE"/>
          </w:rPr>
          <w:t>www.glamox.de</w:t>
        </w:r>
      </w:hyperlink>
      <w:r w:rsidRPr="004A3177">
        <w:rPr>
          <w:rFonts w:cstheme="minorHAnsi"/>
          <w:lang w:val="de-DE"/>
        </w:rPr>
        <w:t xml:space="preserve">. </w:t>
      </w:r>
    </w:p>
    <w:p w14:paraId="61F10DAA" w14:textId="77777777" w:rsidR="00FF35A9" w:rsidRPr="0098723A" w:rsidRDefault="00FF35A9" w:rsidP="00FF35A9">
      <w:pPr>
        <w:spacing w:line="240" w:lineRule="auto"/>
        <w:jc w:val="both"/>
        <w:outlineLvl w:val="0"/>
        <w:rPr>
          <w:rFonts w:cstheme="minorHAnsi"/>
          <w:b/>
          <w:sz w:val="20"/>
          <w:szCs w:val="20"/>
          <w:lang w:val="de-DE"/>
        </w:rPr>
      </w:pPr>
    </w:p>
    <w:p w14:paraId="77A611EA" w14:textId="77777777" w:rsidR="00FF35A9" w:rsidRPr="0098723A" w:rsidRDefault="00FF35A9" w:rsidP="00FF35A9">
      <w:pPr>
        <w:spacing w:line="240" w:lineRule="auto"/>
        <w:jc w:val="both"/>
        <w:outlineLvl w:val="0"/>
        <w:rPr>
          <w:rFonts w:cstheme="minorHAnsi"/>
          <w:b/>
          <w:sz w:val="20"/>
          <w:szCs w:val="20"/>
          <w:lang w:val="de-DE"/>
        </w:rPr>
      </w:pPr>
    </w:p>
    <w:p w14:paraId="390A3213" w14:textId="77777777" w:rsidR="00FF35A9" w:rsidRPr="0098723A" w:rsidRDefault="00FF35A9" w:rsidP="00FF35A9">
      <w:pPr>
        <w:spacing w:line="240" w:lineRule="auto"/>
        <w:jc w:val="both"/>
        <w:outlineLvl w:val="0"/>
        <w:rPr>
          <w:rFonts w:cstheme="minorHAnsi"/>
          <w:b/>
          <w:sz w:val="20"/>
          <w:szCs w:val="20"/>
          <w:lang w:val="de-DE"/>
        </w:rPr>
      </w:pPr>
    </w:p>
    <w:p w14:paraId="572FC450" w14:textId="64E6AEFF" w:rsidR="00FF35A9" w:rsidRPr="0098723A" w:rsidRDefault="00FF35A9" w:rsidP="00FF35A9">
      <w:pPr>
        <w:pBdr>
          <w:top w:val="single" w:sz="4" w:space="1" w:color="auto"/>
          <w:left w:val="single" w:sz="4" w:space="4" w:color="auto"/>
          <w:bottom w:val="single" w:sz="4" w:space="1" w:color="auto"/>
          <w:right w:val="single" w:sz="4" w:space="4" w:color="auto"/>
        </w:pBdr>
        <w:spacing w:after="120" w:line="360" w:lineRule="auto"/>
        <w:jc w:val="both"/>
        <w:rPr>
          <w:rFonts w:cstheme="minorHAnsi"/>
          <w:lang w:val="de-DE"/>
        </w:rPr>
      </w:pPr>
      <w:r w:rsidRPr="0098723A">
        <w:rPr>
          <w:rFonts w:cstheme="minorHAnsi"/>
          <w:lang w:val="de-DE"/>
        </w:rPr>
        <w:t xml:space="preserve">Sehr gern vereinbaren wir mit Ihnen einen Pressetermin bei Glamox auf der eltefa 2019 in Stuttgart.     Bitte wenden Sie sich an Stefan Winter, Profil Marketing, unter E-Mail </w:t>
      </w:r>
      <w:hyperlink r:id="rId10" w:history="1">
        <w:r w:rsidRPr="0098723A">
          <w:rPr>
            <w:rStyle w:val="Hyperlink"/>
            <w:rFonts w:cstheme="minorHAnsi"/>
            <w:lang w:val="de-DE"/>
          </w:rPr>
          <w:t>s.winter@profil-marketing.com</w:t>
        </w:r>
      </w:hyperlink>
      <w:r w:rsidRPr="0098723A">
        <w:rPr>
          <w:rFonts w:cstheme="minorHAnsi"/>
          <w:lang w:val="de-DE"/>
        </w:rPr>
        <w:t xml:space="preserve"> oder Telefon 0531 / 387 33-16.</w:t>
      </w:r>
    </w:p>
    <w:p w14:paraId="5E8B20DB" w14:textId="187E7CCF" w:rsidR="00FF35A9" w:rsidRDefault="00FF35A9" w:rsidP="00FF35A9">
      <w:pPr>
        <w:spacing w:line="240" w:lineRule="auto"/>
        <w:jc w:val="both"/>
        <w:outlineLvl w:val="0"/>
        <w:rPr>
          <w:rFonts w:cstheme="minorHAnsi"/>
          <w:b/>
          <w:sz w:val="20"/>
          <w:szCs w:val="20"/>
          <w:lang w:val="de-DE"/>
        </w:rPr>
      </w:pPr>
    </w:p>
    <w:p w14:paraId="4786DE14" w14:textId="1C02722F" w:rsidR="00343AC8" w:rsidRDefault="00343AC8" w:rsidP="00FF35A9">
      <w:pPr>
        <w:spacing w:line="240" w:lineRule="auto"/>
        <w:jc w:val="both"/>
        <w:outlineLvl w:val="0"/>
        <w:rPr>
          <w:rFonts w:cstheme="minorHAnsi"/>
          <w:b/>
          <w:sz w:val="20"/>
          <w:szCs w:val="20"/>
          <w:lang w:val="de-DE"/>
        </w:rPr>
      </w:pPr>
    </w:p>
    <w:p w14:paraId="24E326D4" w14:textId="3B24B52B" w:rsidR="00343AC8" w:rsidRDefault="00343AC8" w:rsidP="00FF35A9">
      <w:pPr>
        <w:spacing w:line="240" w:lineRule="auto"/>
        <w:jc w:val="both"/>
        <w:outlineLvl w:val="0"/>
        <w:rPr>
          <w:rFonts w:cstheme="minorHAnsi"/>
          <w:b/>
          <w:sz w:val="20"/>
          <w:szCs w:val="20"/>
          <w:lang w:val="de-DE"/>
        </w:rPr>
      </w:pPr>
    </w:p>
    <w:p w14:paraId="0A46F5FC" w14:textId="7B20AD12" w:rsidR="004A3177" w:rsidRDefault="004A3177" w:rsidP="00FF35A9">
      <w:pPr>
        <w:spacing w:line="240" w:lineRule="auto"/>
        <w:jc w:val="both"/>
        <w:outlineLvl w:val="0"/>
        <w:rPr>
          <w:rFonts w:cstheme="minorHAnsi"/>
          <w:b/>
          <w:sz w:val="20"/>
          <w:szCs w:val="20"/>
          <w:lang w:val="de-DE"/>
        </w:rPr>
      </w:pPr>
    </w:p>
    <w:p w14:paraId="2F9C9256" w14:textId="24A6BE64" w:rsidR="004A3177" w:rsidRDefault="004A3177" w:rsidP="00FF35A9">
      <w:pPr>
        <w:spacing w:line="240" w:lineRule="auto"/>
        <w:jc w:val="both"/>
        <w:outlineLvl w:val="0"/>
        <w:rPr>
          <w:rFonts w:cstheme="minorHAnsi"/>
          <w:b/>
          <w:sz w:val="20"/>
          <w:szCs w:val="20"/>
          <w:lang w:val="de-DE"/>
        </w:rPr>
      </w:pPr>
    </w:p>
    <w:p w14:paraId="2BE2D14E" w14:textId="3784620C" w:rsidR="004A3177" w:rsidRDefault="004A3177" w:rsidP="00FF35A9">
      <w:pPr>
        <w:spacing w:line="240" w:lineRule="auto"/>
        <w:jc w:val="both"/>
        <w:outlineLvl w:val="0"/>
        <w:rPr>
          <w:rFonts w:cstheme="minorHAnsi"/>
          <w:b/>
          <w:sz w:val="20"/>
          <w:szCs w:val="20"/>
          <w:lang w:val="de-DE"/>
        </w:rPr>
      </w:pPr>
    </w:p>
    <w:p w14:paraId="6CB22F7D" w14:textId="77777777" w:rsidR="004A3177" w:rsidRPr="0098723A" w:rsidRDefault="004A3177" w:rsidP="00FF35A9">
      <w:pPr>
        <w:spacing w:line="240" w:lineRule="auto"/>
        <w:jc w:val="both"/>
        <w:outlineLvl w:val="0"/>
        <w:rPr>
          <w:rFonts w:cstheme="minorHAnsi"/>
          <w:b/>
          <w:sz w:val="20"/>
          <w:szCs w:val="20"/>
          <w:lang w:val="de-DE"/>
        </w:rPr>
      </w:pPr>
    </w:p>
    <w:p w14:paraId="1A784BB3" w14:textId="77777777" w:rsidR="00FF35A9" w:rsidRPr="0098723A" w:rsidRDefault="00FF35A9" w:rsidP="00FF35A9">
      <w:pPr>
        <w:spacing w:line="240" w:lineRule="auto"/>
        <w:jc w:val="both"/>
        <w:outlineLvl w:val="0"/>
        <w:rPr>
          <w:rFonts w:cstheme="minorHAnsi"/>
          <w:b/>
          <w:sz w:val="20"/>
          <w:szCs w:val="20"/>
          <w:lang w:val="de-DE"/>
        </w:rPr>
      </w:pPr>
    </w:p>
    <w:p w14:paraId="13FCD936" w14:textId="77777777" w:rsidR="00FF35A9" w:rsidRPr="0098723A" w:rsidRDefault="00FF35A9" w:rsidP="00FF35A9">
      <w:pPr>
        <w:spacing w:line="240" w:lineRule="auto"/>
        <w:jc w:val="both"/>
        <w:outlineLvl w:val="0"/>
        <w:rPr>
          <w:rFonts w:cstheme="minorHAnsi"/>
          <w:b/>
          <w:sz w:val="20"/>
          <w:szCs w:val="20"/>
          <w:lang w:val="de-DE"/>
        </w:rPr>
      </w:pPr>
    </w:p>
    <w:bookmarkEnd w:id="3"/>
    <w:bookmarkEnd w:id="4"/>
    <w:p w14:paraId="66B0C08F" w14:textId="77777777" w:rsidR="00142832" w:rsidRPr="0098723A" w:rsidRDefault="00142832" w:rsidP="00142832">
      <w:pPr>
        <w:spacing w:line="240" w:lineRule="auto"/>
        <w:jc w:val="both"/>
        <w:outlineLvl w:val="0"/>
        <w:rPr>
          <w:rFonts w:cstheme="minorHAnsi"/>
          <w:b/>
          <w:sz w:val="20"/>
          <w:szCs w:val="20"/>
          <w:lang w:val="de-DE"/>
        </w:rPr>
      </w:pPr>
      <w:r w:rsidRPr="0098723A">
        <w:rPr>
          <w:rFonts w:cstheme="minorHAnsi"/>
          <w:b/>
          <w:sz w:val="20"/>
          <w:szCs w:val="20"/>
          <w:lang w:val="de-DE"/>
        </w:rPr>
        <w:t>Glamox GmbH</w:t>
      </w:r>
    </w:p>
    <w:p w14:paraId="25D82696" w14:textId="77777777" w:rsidR="00142832" w:rsidRPr="007377ED" w:rsidRDefault="00142832" w:rsidP="00142832">
      <w:pPr>
        <w:spacing w:line="240" w:lineRule="auto"/>
        <w:jc w:val="both"/>
        <w:outlineLvl w:val="0"/>
        <w:rPr>
          <w:rFonts w:cstheme="minorHAnsi"/>
          <w:b/>
          <w:sz w:val="20"/>
          <w:szCs w:val="20"/>
          <w:lang w:val="de-DE"/>
        </w:rPr>
      </w:pPr>
    </w:p>
    <w:p w14:paraId="704D0CE6" w14:textId="77777777" w:rsidR="00142832" w:rsidRPr="007377ED" w:rsidRDefault="00142832" w:rsidP="00142832">
      <w:pPr>
        <w:spacing w:line="240" w:lineRule="auto"/>
        <w:jc w:val="both"/>
        <w:outlineLvl w:val="0"/>
        <w:rPr>
          <w:rFonts w:cstheme="minorHAnsi"/>
          <w:b/>
          <w:sz w:val="20"/>
          <w:szCs w:val="20"/>
          <w:lang w:val="de-DE"/>
        </w:rPr>
      </w:pPr>
      <w:r w:rsidRPr="007377ED">
        <w:rPr>
          <w:rFonts w:eastAsia="Times New Roman" w:cstheme="minorHAnsi"/>
          <w:sz w:val="20"/>
          <w:szCs w:val="20"/>
          <w:lang w:val="de-DE" w:eastAsia="de-DE"/>
        </w:rPr>
        <w:t xml:space="preserve">Die Glamox GmbH ist ein Unternehmen der Glamox Gruppe. Glamox ist ein norwegischer Industriekonzern und entwickelt, produziert und vertreibt professionelle Beleuchtungslösungen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56F4CD89" w14:textId="77777777" w:rsidR="00142832" w:rsidRPr="007377ED" w:rsidRDefault="00142832" w:rsidP="00142832">
      <w:pPr>
        <w:spacing w:line="240" w:lineRule="auto"/>
        <w:jc w:val="both"/>
        <w:outlineLvl w:val="0"/>
        <w:rPr>
          <w:rFonts w:cstheme="minorHAnsi"/>
          <w:b/>
          <w:sz w:val="20"/>
          <w:szCs w:val="20"/>
          <w:lang w:val="de-DE"/>
        </w:rPr>
      </w:pPr>
    </w:p>
    <w:p w14:paraId="087DF5E3" w14:textId="77777777" w:rsidR="00142832" w:rsidRPr="007377ED" w:rsidRDefault="00142832" w:rsidP="00142832">
      <w:pPr>
        <w:spacing w:line="240" w:lineRule="auto"/>
        <w:jc w:val="both"/>
        <w:outlineLvl w:val="0"/>
        <w:rPr>
          <w:rFonts w:eastAsia="Times New Roman" w:cstheme="minorHAnsi"/>
          <w:sz w:val="20"/>
          <w:szCs w:val="20"/>
          <w:lang w:val="de-DE" w:eastAsia="de-DE"/>
        </w:rPr>
      </w:pPr>
      <w:r w:rsidRPr="007377ED">
        <w:rPr>
          <w:rFonts w:eastAsia="Times New Roman" w:cstheme="minorHAnsi"/>
          <w:sz w:val="20"/>
          <w:szCs w:val="20"/>
          <w:lang w:val="de-DE" w:eastAsia="de-DE"/>
        </w:rPr>
        <w:t xml:space="preserve">Die Glamox Gruppe ist ein weltweit tätiges Unternehmen mit 1300 Mitarbeitern und Vertriebs- und Produktionsstandorten in mehreren europäischen Ländern, Asien und Nord- und Südamerika. Der Jahresumsatz 2017 betrug 283 </w:t>
      </w:r>
      <w:r w:rsidRPr="007377ED">
        <w:rPr>
          <w:rFonts w:cstheme="minorHAnsi"/>
          <w:sz w:val="20"/>
          <w:szCs w:val="20"/>
          <w:lang w:val="de-DE" w:eastAsia="de-DE"/>
        </w:rPr>
        <w:t>MEUR</w:t>
      </w:r>
      <w:r w:rsidRPr="007377ED">
        <w:rPr>
          <w:rFonts w:eastAsia="Times New Roman" w:cstheme="minorHAnsi"/>
          <w:sz w:val="20"/>
          <w:szCs w:val="20"/>
          <w:lang w:val="de-DE" w:eastAsia="de-DE"/>
        </w:rPr>
        <w:t xml:space="preserve">. Zum Konzern gehören eine Reihe von Qualitätsmarken für Beleuchtung wie Glamox, Aqua Signal, Luxo, Norselight und LINKSrechts. Um die Kundenbedürfnisse und Erwartungen zu erfüllen, setzt Glamox sich für die Bereitstellung hochwertiger Produkte, Lösungen, Service und Support ein. </w:t>
      </w:r>
    </w:p>
    <w:p w14:paraId="634EB544" w14:textId="77777777" w:rsidR="00142832" w:rsidRPr="007377ED" w:rsidRDefault="00EF0BEB" w:rsidP="00142832">
      <w:pPr>
        <w:spacing w:line="240" w:lineRule="auto"/>
        <w:jc w:val="both"/>
        <w:outlineLvl w:val="0"/>
        <w:rPr>
          <w:rFonts w:cstheme="minorHAnsi"/>
          <w:b/>
          <w:sz w:val="20"/>
          <w:szCs w:val="20"/>
          <w:lang w:val="de-DE"/>
        </w:rPr>
      </w:pPr>
      <w:hyperlink r:id="rId11" w:history="1">
        <w:r w:rsidR="00142832" w:rsidRPr="007377ED">
          <w:rPr>
            <w:rStyle w:val="Hyperlink"/>
            <w:rFonts w:cstheme="minorHAnsi"/>
            <w:sz w:val="20"/>
            <w:szCs w:val="20"/>
            <w:lang w:val="de-DE"/>
          </w:rPr>
          <w:t>www.glamox.de</w:t>
        </w:r>
      </w:hyperlink>
    </w:p>
    <w:p w14:paraId="5D8CED8F" w14:textId="77777777" w:rsidR="00142832" w:rsidRPr="007377ED" w:rsidRDefault="00142832" w:rsidP="00142832">
      <w:pPr>
        <w:spacing w:line="240" w:lineRule="auto"/>
        <w:rPr>
          <w:rFonts w:cstheme="minorHAnsi"/>
          <w:sz w:val="20"/>
          <w:szCs w:val="20"/>
          <w:lang w:val="de-DE"/>
        </w:rPr>
      </w:pPr>
    </w:p>
    <w:p w14:paraId="02826A75" w14:textId="77777777" w:rsidR="00142832" w:rsidRPr="00C03B65" w:rsidRDefault="00142832" w:rsidP="00142832">
      <w:pPr>
        <w:spacing w:line="240" w:lineRule="auto"/>
        <w:rPr>
          <w:rFonts w:ascii="Calibri" w:hAnsi="Calibri"/>
          <w:sz w:val="20"/>
          <w:szCs w:val="20"/>
          <w:lang w:val="de-DE"/>
        </w:rPr>
      </w:pPr>
    </w:p>
    <w:p w14:paraId="603AC65F" w14:textId="77777777" w:rsidR="00142832" w:rsidRPr="00C03B65" w:rsidRDefault="00142832" w:rsidP="00142832">
      <w:pPr>
        <w:spacing w:line="240" w:lineRule="auto"/>
        <w:rPr>
          <w:rFonts w:ascii="Calibri" w:hAnsi="Calibri"/>
          <w:b/>
          <w:sz w:val="20"/>
          <w:szCs w:val="20"/>
          <w:lang w:val="de-DE"/>
        </w:rPr>
      </w:pPr>
      <w:r w:rsidRPr="00C03B65">
        <w:rPr>
          <w:rFonts w:ascii="Calibri" w:hAnsi="Calibri"/>
          <w:b/>
          <w:sz w:val="20"/>
          <w:szCs w:val="20"/>
          <w:lang w:val="de-DE"/>
        </w:rPr>
        <w:t>Pressekontakte</w:t>
      </w:r>
    </w:p>
    <w:p w14:paraId="49D9095F" w14:textId="77777777" w:rsidR="00142832" w:rsidRPr="00C03B65" w:rsidRDefault="00142832" w:rsidP="00142832">
      <w:pPr>
        <w:spacing w:line="240" w:lineRule="auto"/>
        <w:rPr>
          <w:rFonts w:ascii="Calibri" w:hAnsi="Calibri"/>
          <w:sz w:val="20"/>
          <w:szCs w:val="20"/>
          <w:lang w:val="de-DE"/>
        </w:rPr>
      </w:pPr>
    </w:p>
    <w:p w14:paraId="264970B5"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Dipl.-Ing. Sabrina Catrin Meyer</w:t>
      </w:r>
    </w:p>
    <w:p w14:paraId="6A759882"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Lichtplanung &amp; Marketing</w:t>
      </w:r>
    </w:p>
    <w:p w14:paraId="3C689B61"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Von-Thünen-Str. 12</w:t>
      </w:r>
    </w:p>
    <w:p w14:paraId="141D9E26"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28307 Bremen</w:t>
      </w:r>
    </w:p>
    <w:p w14:paraId="4F48DD56"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+49 421 485 70-71</w:t>
      </w:r>
    </w:p>
    <w:p w14:paraId="39601BA9"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+49 421 485 70-33</w:t>
      </w:r>
    </w:p>
    <w:p w14:paraId="3712000E"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 xml:space="preserve">E-Mail: </w:t>
      </w:r>
      <w:hyperlink r:id="rId12" w:history="1">
        <w:r w:rsidRPr="00C03B65">
          <w:rPr>
            <w:rStyle w:val="Hyperlink"/>
            <w:rFonts w:ascii="Calibri" w:hAnsi="Calibri" w:cs="Gill Sans"/>
            <w:sz w:val="20"/>
            <w:szCs w:val="20"/>
            <w:lang w:val="de-DE"/>
          </w:rPr>
          <w:t>sabrina.meyer@glamox.com</w:t>
        </w:r>
      </w:hyperlink>
    </w:p>
    <w:p w14:paraId="4898F4DF" w14:textId="77777777" w:rsidR="00142832" w:rsidRPr="00C03B65" w:rsidRDefault="00142832" w:rsidP="00142832">
      <w:pPr>
        <w:spacing w:line="240" w:lineRule="auto"/>
        <w:jc w:val="both"/>
        <w:rPr>
          <w:rFonts w:ascii="Calibri" w:hAnsi="Calibri" w:cs="Gill Sans"/>
          <w:sz w:val="20"/>
          <w:szCs w:val="20"/>
          <w:lang w:val="de-DE"/>
        </w:rPr>
      </w:pPr>
    </w:p>
    <w:p w14:paraId="2EF6FC69" w14:textId="77777777" w:rsidR="00142832" w:rsidRPr="00C03B65" w:rsidRDefault="00142832" w:rsidP="00142832">
      <w:pPr>
        <w:spacing w:line="240" w:lineRule="auto"/>
        <w:jc w:val="both"/>
        <w:rPr>
          <w:rFonts w:ascii="Calibri" w:hAnsi="Calibri" w:cs="Gill Sans"/>
          <w:b/>
          <w:sz w:val="20"/>
          <w:szCs w:val="20"/>
          <w:lang w:val="de-DE"/>
        </w:rPr>
      </w:pPr>
      <w:r w:rsidRPr="00C03B65">
        <w:rPr>
          <w:rFonts w:ascii="Calibri" w:hAnsi="Calibri" w:cs="Gill Sans"/>
          <w:b/>
          <w:sz w:val="20"/>
          <w:szCs w:val="20"/>
          <w:lang w:val="de-DE"/>
        </w:rPr>
        <w:t>Hauptsitz Glamox GmbH</w:t>
      </w:r>
    </w:p>
    <w:p w14:paraId="543E031D"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Daimlerring 25</w:t>
      </w:r>
    </w:p>
    <w:p w14:paraId="6A0A4780"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31135 Hildesheim</w:t>
      </w:r>
    </w:p>
    <w:p w14:paraId="2765DCC8"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5121 7060-0</w:t>
      </w:r>
    </w:p>
    <w:p w14:paraId="09D3B1FC"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5121 5291-0</w:t>
      </w:r>
    </w:p>
    <w:p w14:paraId="195FD569" w14:textId="77777777" w:rsidR="00142832" w:rsidRPr="00C03B65" w:rsidRDefault="00142832" w:rsidP="00142832">
      <w:pPr>
        <w:spacing w:line="240" w:lineRule="auto"/>
        <w:jc w:val="both"/>
        <w:rPr>
          <w:rFonts w:ascii="Calibri" w:hAnsi="Calibri" w:cs="Gill Sans"/>
          <w:sz w:val="20"/>
          <w:szCs w:val="20"/>
          <w:lang w:val="de-DE"/>
        </w:rPr>
      </w:pPr>
    </w:p>
    <w:p w14:paraId="0C8ACDDA" w14:textId="77777777" w:rsidR="00142832" w:rsidRPr="00C03B65" w:rsidRDefault="00142832" w:rsidP="00142832">
      <w:pPr>
        <w:spacing w:line="240" w:lineRule="auto"/>
        <w:jc w:val="both"/>
        <w:rPr>
          <w:rFonts w:ascii="Calibri" w:hAnsi="Calibri" w:cs="Gill Sans"/>
          <w:b/>
          <w:sz w:val="20"/>
          <w:szCs w:val="20"/>
          <w:lang w:val="de-DE"/>
        </w:rPr>
      </w:pPr>
      <w:r w:rsidRPr="00C03B65">
        <w:rPr>
          <w:rFonts w:ascii="Calibri" w:hAnsi="Calibri" w:cs="Gill Sans"/>
          <w:b/>
          <w:sz w:val="20"/>
          <w:szCs w:val="20"/>
          <w:lang w:val="de-DE"/>
        </w:rPr>
        <w:t xml:space="preserve">PR-Kontakt </w:t>
      </w:r>
    </w:p>
    <w:p w14:paraId="4407DA38" w14:textId="77777777" w:rsidR="00142832" w:rsidRPr="00AF106F" w:rsidRDefault="00142832" w:rsidP="00142832">
      <w:pPr>
        <w:spacing w:line="240" w:lineRule="auto"/>
        <w:jc w:val="both"/>
        <w:rPr>
          <w:rFonts w:ascii="Calibri" w:hAnsi="Calibri" w:cs="Gill Sans"/>
          <w:b/>
          <w:sz w:val="20"/>
          <w:szCs w:val="20"/>
        </w:rPr>
      </w:pPr>
      <w:r w:rsidRPr="00AF106F">
        <w:rPr>
          <w:rFonts w:ascii="Calibri" w:hAnsi="Calibri" w:cs="Gill Sans"/>
          <w:b/>
          <w:sz w:val="20"/>
          <w:szCs w:val="20"/>
        </w:rPr>
        <w:t>Profil Marketing</w:t>
      </w:r>
    </w:p>
    <w:p w14:paraId="7C4B6EC1" w14:textId="77777777" w:rsidR="00142832" w:rsidRPr="00AF106F" w:rsidRDefault="00142832" w:rsidP="00142832">
      <w:pPr>
        <w:spacing w:line="240" w:lineRule="auto"/>
        <w:jc w:val="both"/>
        <w:rPr>
          <w:rFonts w:ascii="Calibri" w:hAnsi="Calibri" w:cs="Gill Sans"/>
          <w:sz w:val="20"/>
          <w:szCs w:val="20"/>
        </w:rPr>
      </w:pPr>
    </w:p>
    <w:p w14:paraId="74E4EF33" w14:textId="77777777" w:rsidR="00142832" w:rsidRPr="00AF106F" w:rsidRDefault="00142832" w:rsidP="00142832">
      <w:pPr>
        <w:spacing w:line="240" w:lineRule="auto"/>
        <w:jc w:val="both"/>
        <w:rPr>
          <w:rFonts w:ascii="Calibri" w:hAnsi="Calibri" w:cs="Gill Sans"/>
          <w:sz w:val="20"/>
          <w:szCs w:val="20"/>
        </w:rPr>
      </w:pPr>
      <w:r w:rsidRPr="00AF106F">
        <w:rPr>
          <w:rFonts w:ascii="Calibri" w:hAnsi="Calibri" w:cs="Gill Sans"/>
          <w:sz w:val="20"/>
          <w:szCs w:val="20"/>
        </w:rPr>
        <w:t>Stefan Winter</w:t>
      </w:r>
    </w:p>
    <w:p w14:paraId="0DB978EF" w14:textId="77777777" w:rsidR="00142832" w:rsidRPr="00451F43" w:rsidRDefault="00142832" w:rsidP="00142832">
      <w:pPr>
        <w:spacing w:line="240" w:lineRule="auto"/>
        <w:jc w:val="both"/>
        <w:rPr>
          <w:rFonts w:ascii="Calibri" w:hAnsi="Calibri" w:cs="Gill Sans"/>
          <w:sz w:val="20"/>
          <w:szCs w:val="20"/>
        </w:rPr>
      </w:pPr>
      <w:r w:rsidRPr="00451F43">
        <w:rPr>
          <w:rFonts w:ascii="Calibri" w:hAnsi="Calibri" w:cs="Gill Sans"/>
          <w:sz w:val="20"/>
          <w:szCs w:val="20"/>
        </w:rPr>
        <w:t>Public Relations</w:t>
      </w:r>
    </w:p>
    <w:p w14:paraId="1F61109D" w14:textId="77777777" w:rsidR="00142832" w:rsidRPr="00AF106F" w:rsidRDefault="00142832" w:rsidP="00142832">
      <w:pPr>
        <w:spacing w:line="240" w:lineRule="auto"/>
        <w:jc w:val="both"/>
        <w:rPr>
          <w:rFonts w:ascii="Calibri" w:hAnsi="Calibri" w:cs="Gill Sans"/>
          <w:sz w:val="20"/>
          <w:szCs w:val="20"/>
          <w:lang w:val="de-DE"/>
        </w:rPr>
      </w:pPr>
      <w:r w:rsidRPr="00AF106F">
        <w:rPr>
          <w:rFonts w:ascii="Calibri" w:hAnsi="Calibri" w:cs="Gill Sans"/>
          <w:sz w:val="20"/>
          <w:szCs w:val="20"/>
          <w:lang w:val="de-DE"/>
        </w:rPr>
        <w:t>Profil Marketing OHG</w:t>
      </w:r>
    </w:p>
    <w:p w14:paraId="69C71BD1" w14:textId="77777777" w:rsidR="00142832" w:rsidRPr="00C03B65" w:rsidRDefault="00142832" w:rsidP="00142832">
      <w:pPr>
        <w:spacing w:line="240" w:lineRule="auto"/>
        <w:jc w:val="both"/>
        <w:rPr>
          <w:rFonts w:ascii="Calibri" w:hAnsi="Calibri" w:cs="Gill Sans"/>
          <w:sz w:val="20"/>
          <w:szCs w:val="20"/>
          <w:lang w:val="de-DE"/>
        </w:rPr>
      </w:pPr>
      <w:r w:rsidRPr="00AF106F">
        <w:rPr>
          <w:rFonts w:ascii="Calibri" w:hAnsi="Calibri" w:cs="Gill Sans"/>
          <w:sz w:val="20"/>
          <w:szCs w:val="20"/>
          <w:lang w:val="de-DE"/>
        </w:rPr>
        <w:t xml:space="preserve">Humboldtstr. </w:t>
      </w:r>
      <w:r w:rsidRPr="00C03B65">
        <w:rPr>
          <w:rFonts w:ascii="Calibri" w:hAnsi="Calibri" w:cs="Gill Sans"/>
          <w:sz w:val="20"/>
          <w:szCs w:val="20"/>
          <w:lang w:val="de-DE"/>
        </w:rPr>
        <w:t>21</w:t>
      </w:r>
    </w:p>
    <w:p w14:paraId="16831764"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38106 Braunschweig</w:t>
      </w:r>
    </w:p>
    <w:p w14:paraId="3E251179"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+49 531 387 33 16</w:t>
      </w:r>
    </w:p>
    <w:p w14:paraId="2F1C2700" w14:textId="77777777" w:rsidR="00142832" w:rsidRPr="00C03B65" w:rsidRDefault="00142832" w:rsidP="00142832">
      <w:pPr>
        <w:spacing w:line="240" w:lineRule="auto"/>
        <w:jc w:val="both"/>
        <w:rPr>
          <w:rFonts w:ascii="Calibri" w:hAnsi="Calibri" w:cs="Gill Sans"/>
          <w:sz w:val="20"/>
          <w:szCs w:val="20"/>
          <w:lang w:val="de-DE"/>
        </w:rPr>
      </w:pPr>
      <w:r w:rsidRPr="00C03B65">
        <w:rPr>
          <w:rFonts w:ascii="Calibri" w:hAnsi="Calibri" w:cs="Gill Sans"/>
          <w:sz w:val="20"/>
          <w:szCs w:val="20"/>
          <w:lang w:val="de-DE"/>
        </w:rPr>
        <w:t xml:space="preserve">E-Mail: </w:t>
      </w:r>
      <w:hyperlink r:id="rId13" w:history="1">
        <w:r w:rsidRPr="00C03B65">
          <w:rPr>
            <w:rStyle w:val="Hyperlink"/>
            <w:rFonts w:ascii="Calibri" w:hAnsi="Calibri" w:cs="Gill Sans"/>
            <w:sz w:val="20"/>
            <w:szCs w:val="20"/>
            <w:lang w:val="de-DE"/>
          </w:rPr>
          <w:t>s.winter@profil-marketing.com</w:t>
        </w:r>
      </w:hyperlink>
    </w:p>
    <w:p w14:paraId="7B380CDB" w14:textId="2C9A8521" w:rsidR="00220815" w:rsidRPr="00C03B65" w:rsidRDefault="00220815" w:rsidP="00142832">
      <w:pPr>
        <w:spacing w:line="240" w:lineRule="auto"/>
        <w:jc w:val="both"/>
        <w:rPr>
          <w:rFonts w:ascii="Calibri" w:hAnsi="Calibri" w:cs="Gill Sans"/>
          <w:sz w:val="20"/>
          <w:szCs w:val="20"/>
          <w:lang w:val="de-DE"/>
        </w:rPr>
      </w:pPr>
    </w:p>
    <w:sectPr w:rsidR="00220815" w:rsidRPr="00C03B65" w:rsidSect="002F5F44">
      <w:pgSz w:w="12240" w:h="15840"/>
      <w:pgMar w:top="1440" w:right="1440" w:bottom="624"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D25B" w14:textId="77777777" w:rsidR="00EF0BEB" w:rsidRDefault="00EF0BEB" w:rsidP="00B631F1">
      <w:pPr>
        <w:spacing w:line="240" w:lineRule="auto"/>
      </w:pPr>
      <w:r>
        <w:separator/>
      </w:r>
    </w:p>
  </w:endnote>
  <w:endnote w:type="continuationSeparator" w:id="0">
    <w:p w14:paraId="11EE192B" w14:textId="77777777" w:rsidR="00EF0BEB" w:rsidRDefault="00EF0BEB"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751C" w14:textId="77777777" w:rsidR="00EF0BEB" w:rsidRDefault="00EF0BEB" w:rsidP="00B631F1">
      <w:pPr>
        <w:spacing w:line="240" w:lineRule="auto"/>
      </w:pPr>
      <w:r>
        <w:separator/>
      </w:r>
    </w:p>
  </w:footnote>
  <w:footnote w:type="continuationSeparator" w:id="0">
    <w:p w14:paraId="44DD97CC" w14:textId="77777777" w:rsidR="00EF0BEB" w:rsidRDefault="00EF0BEB"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20ED6"/>
    <w:rsid w:val="00036679"/>
    <w:rsid w:val="000502F2"/>
    <w:rsid w:val="0005603A"/>
    <w:rsid w:val="00080743"/>
    <w:rsid w:val="000A1489"/>
    <w:rsid w:val="000A6E81"/>
    <w:rsid w:val="000B2E19"/>
    <w:rsid w:val="000F1975"/>
    <w:rsid w:val="00110202"/>
    <w:rsid w:val="00142832"/>
    <w:rsid w:val="00143666"/>
    <w:rsid w:val="00162219"/>
    <w:rsid w:val="00180235"/>
    <w:rsid w:val="0018541C"/>
    <w:rsid w:val="00186072"/>
    <w:rsid w:val="001960E5"/>
    <w:rsid w:val="001A2A5B"/>
    <w:rsid w:val="001C1253"/>
    <w:rsid w:val="001C1A3F"/>
    <w:rsid w:val="001C2009"/>
    <w:rsid w:val="001C4CC3"/>
    <w:rsid w:val="001D183D"/>
    <w:rsid w:val="001E12DE"/>
    <w:rsid w:val="00220815"/>
    <w:rsid w:val="00230F86"/>
    <w:rsid w:val="002353F6"/>
    <w:rsid w:val="00235925"/>
    <w:rsid w:val="0026363A"/>
    <w:rsid w:val="00272576"/>
    <w:rsid w:val="00273C48"/>
    <w:rsid w:val="0027469A"/>
    <w:rsid w:val="0027470B"/>
    <w:rsid w:val="002761CF"/>
    <w:rsid w:val="00277BD7"/>
    <w:rsid w:val="00281E91"/>
    <w:rsid w:val="00291A1A"/>
    <w:rsid w:val="00294039"/>
    <w:rsid w:val="002972D8"/>
    <w:rsid w:val="002A3D5D"/>
    <w:rsid w:val="002C0E3C"/>
    <w:rsid w:val="002D0564"/>
    <w:rsid w:val="002F5F44"/>
    <w:rsid w:val="00306C13"/>
    <w:rsid w:val="00310838"/>
    <w:rsid w:val="00312D83"/>
    <w:rsid w:val="00343AC8"/>
    <w:rsid w:val="0034772B"/>
    <w:rsid w:val="00363BF6"/>
    <w:rsid w:val="00367DF7"/>
    <w:rsid w:val="00374821"/>
    <w:rsid w:val="00382048"/>
    <w:rsid w:val="003B4303"/>
    <w:rsid w:val="003C0B2F"/>
    <w:rsid w:val="003C0E4F"/>
    <w:rsid w:val="003C4559"/>
    <w:rsid w:val="003D13D1"/>
    <w:rsid w:val="003D29CF"/>
    <w:rsid w:val="003D6E51"/>
    <w:rsid w:val="003E56C5"/>
    <w:rsid w:val="00401FF9"/>
    <w:rsid w:val="004065AE"/>
    <w:rsid w:val="00414818"/>
    <w:rsid w:val="00416D91"/>
    <w:rsid w:val="00431CB6"/>
    <w:rsid w:val="00437791"/>
    <w:rsid w:val="00443771"/>
    <w:rsid w:val="004458A5"/>
    <w:rsid w:val="00451609"/>
    <w:rsid w:val="00451F43"/>
    <w:rsid w:val="00463AC4"/>
    <w:rsid w:val="00465CFE"/>
    <w:rsid w:val="00473530"/>
    <w:rsid w:val="00476102"/>
    <w:rsid w:val="00476658"/>
    <w:rsid w:val="004848DC"/>
    <w:rsid w:val="00486C46"/>
    <w:rsid w:val="00496C85"/>
    <w:rsid w:val="004A2710"/>
    <w:rsid w:val="004A3177"/>
    <w:rsid w:val="004A629B"/>
    <w:rsid w:val="004A6B8C"/>
    <w:rsid w:val="004B1C72"/>
    <w:rsid w:val="004C3F0B"/>
    <w:rsid w:val="004F7F8D"/>
    <w:rsid w:val="005302E2"/>
    <w:rsid w:val="00531601"/>
    <w:rsid w:val="0053785F"/>
    <w:rsid w:val="005474AD"/>
    <w:rsid w:val="00547670"/>
    <w:rsid w:val="005572B1"/>
    <w:rsid w:val="005A76C0"/>
    <w:rsid w:val="005B206F"/>
    <w:rsid w:val="005B53F4"/>
    <w:rsid w:val="005C1315"/>
    <w:rsid w:val="005C3CBA"/>
    <w:rsid w:val="005C65E7"/>
    <w:rsid w:val="005E31C1"/>
    <w:rsid w:val="005E4D81"/>
    <w:rsid w:val="005E5DA1"/>
    <w:rsid w:val="005E6738"/>
    <w:rsid w:val="00610BC9"/>
    <w:rsid w:val="00611C7C"/>
    <w:rsid w:val="00614394"/>
    <w:rsid w:val="00621A05"/>
    <w:rsid w:val="00622223"/>
    <w:rsid w:val="006242B6"/>
    <w:rsid w:val="0062585A"/>
    <w:rsid w:val="00631140"/>
    <w:rsid w:val="0063647D"/>
    <w:rsid w:val="006368F3"/>
    <w:rsid w:val="00636DB2"/>
    <w:rsid w:val="0067257C"/>
    <w:rsid w:val="00677D18"/>
    <w:rsid w:val="00682350"/>
    <w:rsid w:val="00687455"/>
    <w:rsid w:val="0069078B"/>
    <w:rsid w:val="00692C56"/>
    <w:rsid w:val="006B43F3"/>
    <w:rsid w:val="006C55DA"/>
    <w:rsid w:val="006D4264"/>
    <w:rsid w:val="006F2E87"/>
    <w:rsid w:val="00706757"/>
    <w:rsid w:val="0072257D"/>
    <w:rsid w:val="00723B96"/>
    <w:rsid w:val="0072537D"/>
    <w:rsid w:val="00732AE8"/>
    <w:rsid w:val="007330D4"/>
    <w:rsid w:val="0073670E"/>
    <w:rsid w:val="00736E7C"/>
    <w:rsid w:val="00742CA1"/>
    <w:rsid w:val="00756C08"/>
    <w:rsid w:val="00764A0A"/>
    <w:rsid w:val="0076702F"/>
    <w:rsid w:val="00783884"/>
    <w:rsid w:val="00784300"/>
    <w:rsid w:val="007929B8"/>
    <w:rsid w:val="007936E7"/>
    <w:rsid w:val="007947B9"/>
    <w:rsid w:val="0079624F"/>
    <w:rsid w:val="007B60D8"/>
    <w:rsid w:val="007B786E"/>
    <w:rsid w:val="007C46B0"/>
    <w:rsid w:val="007D63C1"/>
    <w:rsid w:val="007D6C02"/>
    <w:rsid w:val="007E0A75"/>
    <w:rsid w:val="007F41A6"/>
    <w:rsid w:val="007F63E9"/>
    <w:rsid w:val="00800E1A"/>
    <w:rsid w:val="00804C2E"/>
    <w:rsid w:val="00816792"/>
    <w:rsid w:val="0082614E"/>
    <w:rsid w:val="00833620"/>
    <w:rsid w:val="00853897"/>
    <w:rsid w:val="0086219E"/>
    <w:rsid w:val="00863492"/>
    <w:rsid w:val="00865CA0"/>
    <w:rsid w:val="00875B5D"/>
    <w:rsid w:val="00876A65"/>
    <w:rsid w:val="0089141F"/>
    <w:rsid w:val="00895749"/>
    <w:rsid w:val="008A0D33"/>
    <w:rsid w:val="008A4996"/>
    <w:rsid w:val="008B220B"/>
    <w:rsid w:val="008B543D"/>
    <w:rsid w:val="008D22DB"/>
    <w:rsid w:val="008F67C4"/>
    <w:rsid w:val="00901E1C"/>
    <w:rsid w:val="009027DD"/>
    <w:rsid w:val="009078A8"/>
    <w:rsid w:val="00926458"/>
    <w:rsid w:val="0092652B"/>
    <w:rsid w:val="00935BFF"/>
    <w:rsid w:val="00941224"/>
    <w:rsid w:val="00951C51"/>
    <w:rsid w:val="00966456"/>
    <w:rsid w:val="0098723A"/>
    <w:rsid w:val="00997817"/>
    <w:rsid w:val="009A439A"/>
    <w:rsid w:val="009C65F6"/>
    <w:rsid w:val="009C6D99"/>
    <w:rsid w:val="009D747B"/>
    <w:rsid w:val="009F6DCE"/>
    <w:rsid w:val="00A00225"/>
    <w:rsid w:val="00A0261D"/>
    <w:rsid w:val="00A1507E"/>
    <w:rsid w:val="00A2628E"/>
    <w:rsid w:val="00A268E2"/>
    <w:rsid w:val="00A31B52"/>
    <w:rsid w:val="00A42647"/>
    <w:rsid w:val="00A575FB"/>
    <w:rsid w:val="00A756FA"/>
    <w:rsid w:val="00A8112D"/>
    <w:rsid w:val="00A81287"/>
    <w:rsid w:val="00A87B35"/>
    <w:rsid w:val="00A91E58"/>
    <w:rsid w:val="00A9237E"/>
    <w:rsid w:val="00AB6D95"/>
    <w:rsid w:val="00AF106F"/>
    <w:rsid w:val="00AF3F36"/>
    <w:rsid w:val="00B07A84"/>
    <w:rsid w:val="00B147C3"/>
    <w:rsid w:val="00B22D2A"/>
    <w:rsid w:val="00B244EE"/>
    <w:rsid w:val="00B25114"/>
    <w:rsid w:val="00B3603D"/>
    <w:rsid w:val="00B37B16"/>
    <w:rsid w:val="00B467B7"/>
    <w:rsid w:val="00B46A82"/>
    <w:rsid w:val="00B5641D"/>
    <w:rsid w:val="00B631F1"/>
    <w:rsid w:val="00B76501"/>
    <w:rsid w:val="00B77739"/>
    <w:rsid w:val="00B8612B"/>
    <w:rsid w:val="00B9264F"/>
    <w:rsid w:val="00BB0CB3"/>
    <w:rsid w:val="00BB3F83"/>
    <w:rsid w:val="00BB659B"/>
    <w:rsid w:val="00BC1854"/>
    <w:rsid w:val="00BC3FD5"/>
    <w:rsid w:val="00BC568B"/>
    <w:rsid w:val="00BD07A2"/>
    <w:rsid w:val="00BE131E"/>
    <w:rsid w:val="00BE6024"/>
    <w:rsid w:val="00BF522D"/>
    <w:rsid w:val="00C0318A"/>
    <w:rsid w:val="00C03B65"/>
    <w:rsid w:val="00C10A65"/>
    <w:rsid w:val="00C13BA2"/>
    <w:rsid w:val="00C20A35"/>
    <w:rsid w:val="00C311F6"/>
    <w:rsid w:val="00C46E7E"/>
    <w:rsid w:val="00C837FF"/>
    <w:rsid w:val="00C86874"/>
    <w:rsid w:val="00C9412B"/>
    <w:rsid w:val="00CA6775"/>
    <w:rsid w:val="00CA71A0"/>
    <w:rsid w:val="00CF2613"/>
    <w:rsid w:val="00D10777"/>
    <w:rsid w:val="00D11919"/>
    <w:rsid w:val="00D21D50"/>
    <w:rsid w:val="00D36BAD"/>
    <w:rsid w:val="00D52E8D"/>
    <w:rsid w:val="00D54BD4"/>
    <w:rsid w:val="00D56407"/>
    <w:rsid w:val="00D937EB"/>
    <w:rsid w:val="00D95419"/>
    <w:rsid w:val="00DA33A7"/>
    <w:rsid w:val="00DB0EF3"/>
    <w:rsid w:val="00DD0808"/>
    <w:rsid w:val="00DD6BE7"/>
    <w:rsid w:val="00DD74C8"/>
    <w:rsid w:val="00DF2799"/>
    <w:rsid w:val="00DF4781"/>
    <w:rsid w:val="00DF6119"/>
    <w:rsid w:val="00E01C8B"/>
    <w:rsid w:val="00E100B0"/>
    <w:rsid w:val="00E10FF6"/>
    <w:rsid w:val="00E12773"/>
    <w:rsid w:val="00E12FBA"/>
    <w:rsid w:val="00E27153"/>
    <w:rsid w:val="00E303D0"/>
    <w:rsid w:val="00E31DF3"/>
    <w:rsid w:val="00E33439"/>
    <w:rsid w:val="00E335AA"/>
    <w:rsid w:val="00E33D3A"/>
    <w:rsid w:val="00E527E4"/>
    <w:rsid w:val="00E562C0"/>
    <w:rsid w:val="00E745E0"/>
    <w:rsid w:val="00E747D5"/>
    <w:rsid w:val="00E86054"/>
    <w:rsid w:val="00E874AE"/>
    <w:rsid w:val="00E90495"/>
    <w:rsid w:val="00E966D3"/>
    <w:rsid w:val="00EA3BE6"/>
    <w:rsid w:val="00EB6534"/>
    <w:rsid w:val="00ED3744"/>
    <w:rsid w:val="00ED5B04"/>
    <w:rsid w:val="00ED6322"/>
    <w:rsid w:val="00EE2D30"/>
    <w:rsid w:val="00EF0BEB"/>
    <w:rsid w:val="00EF61EB"/>
    <w:rsid w:val="00F12897"/>
    <w:rsid w:val="00F129EA"/>
    <w:rsid w:val="00F1765E"/>
    <w:rsid w:val="00F22C08"/>
    <w:rsid w:val="00F318C1"/>
    <w:rsid w:val="00F32E3F"/>
    <w:rsid w:val="00F5077C"/>
    <w:rsid w:val="00F50F42"/>
    <w:rsid w:val="00F7115F"/>
    <w:rsid w:val="00F84092"/>
    <w:rsid w:val="00F86B3D"/>
    <w:rsid w:val="00F97F91"/>
    <w:rsid w:val="00FA03E0"/>
    <w:rsid w:val="00FA13AF"/>
    <w:rsid w:val="00FB31D1"/>
    <w:rsid w:val="00FB5BA5"/>
    <w:rsid w:val="00FC0082"/>
    <w:rsid w:val="00FD37BB"/>
    <w:rsid w:val="00FD3888"/>
    <w:rsid w:val="00FD49F7"/>
    <w:rsid w:val="00FE0151"/>
    <w:rsid w:val="00FF2A64"/>
    <w:rsid w:val="00FF3000"/>
    <w:rsid w:val="00FF35A9"/>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8A3F2F9D-35DF-DA4E-BEAF-A5D01A5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336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4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meyer@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inter@profil-marketing.com"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88AA-C87A-F841-9044-EE7F1BB0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Glamox</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2017-09-22T06:45:00Z</cp:lastPrinted>
  <dcterms:created xsi:type="dcterms:W3CDTF">2019-02-07T10:37:00Z</dcterms:created>
  <dcterms:modified xsi:type="dcterms:W3CDTF">2019-02-08T10:10:00Z</dcterms:modified>
</cp:coreProperties>
</file>